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left"/>
        <w:rPr>
          <w:rFonts w:ascii="Times New Roman" w:cs="Times New Roman" w:hAnsi="Times New Roman"/>
          <w:sz w:val="30"/>
          <w:szCs w:val="30"/>
          <w:lang w:bidi="ar-EG"/>
        </w:rPr>
      </w:pPr>
      <w:r>
        <w:rPr>
          <w:rFonts w:ascii="Times New Roman" w:cs="Times New Roman" w:hAnsi="Times New Roman"/>
          <w:b/>
          <w:bCs/>
          <w:sz w:val="30"/>
          <w:szCs w:val="30"/>
          <w:lang w:val="en-US"/>
        </w:rPr>
        <w:t xml:space="preserve">Effect of phototherapy  on STEROL REGULATORY ELEMENT BINDING PROTIEN and INTERLEUKIN 17A TISSUE EXPRESSION IN PSORIASIS VULGARIS </w:t>
      </w:r>
    </w:p>
    <w:p>
      <w:pPr>
        <w:pStyle w:val="style0"/>
        <w:spacing w:after="0"/>
        <w:jc w:val="center"/>
        <w:rPr>
          <w:rFonts w:ascii="Times New Roman" w:cs="Times New Roman" w:hAnsi="Times New Roman"/>
          <w:szCs w:val="24"/>
          <w:lang w:bidi="ar-EG"/>
        </w:rPr>
      </w:pPr>
      <w:r>
        <w:rPr>
          <w:rFonts w:ascii="Times New Roman" w:cs="Times New Roman" w:hAnsi="Times New Roman"/>
          <w:szCs w:val="24"/>
          <w:lang w:bidi="ar-EG"/>
        </w:rPr>
        <w:t>Hanan H. Sabry</w:t>
      </w:r>
      <w:r>
        <w:rPr>
          <w:rFonts w:ascii="Times New Roman" w:cs="Times New Roman" w:hAnsi="Times New Roman"/>
          <w:szCs w:val="24"/>
          <w:vertAlign w:val="superscript"/>
          <w:lang w:bidi="ar-EG"/>
        </w:rPr>
        <w:t xml:space="preserve"> </w:t>
      </w:r>
      <w:r>
        <w:rPr>
          <w:rFonts w:ascii="Times New Roman" w:cs="Times New Roman" w:hAnsi="Times New Roman"/>
          <w:szCs w:val="24"/>
          <w:vertAlign w:val="superscript"/>
        </w:rPr>
        <w:t>1</w:t>
      </w:r>
      <w:r>
        <w:rPr>
          <w:rFonts w:ascii="Times New Roman" w:cs="Times New Roman" w:hAnsi="Times New Roman"/>
          <w:szCs w:val="24"/>
          <w:lang w:bidi="ar-EG"/>
        </w:rPr>
        <w:t>, Hala A. Agina</w:t>
      </w:r>
      <w:r>
        <w:rPr>
          <w:rFonts w:ascii="Times New Roman" w:cs="Times New Roman" w:hAnsi="Times New Roman"/>
          <w:szCs w:val="24"/>
          <w:vertAlign w:val="superscript"/>
          <w:lang w:bidi="ar-EG"/>
        </w:rPr>
        <w:t xml:space="preserve"> 2</w:t>
      </w:r>
      <w:r>
        <w:rPr>
          <w:rFonts w:ascii="Times New Roman" w:cs="Times New Roman" w:hAnsi="Times New Roman"/>
          <w:szCs w:val="24"/>
          <w:lang w:bidi="ar-EG"/>
        </w:rPr>
        <w:t>, Asmaa A. M. Saad</w:t>
      </w:r>
      <w:r>
        <w:rPr>
          <w:rFonts w:ascii="Times New Roman" w:cs="Times New Roman" w:hAnsi="Times New Roman"/>
          <w:szCs w:val="24"/>
        </w:rPr>
        <w:t xml:space="preserve"> </w:t>
      </w:r>
      <w:r>
        <w:rPr>
          <w:rFonts w:ascii="Times New Roman" w:cs="Times New Roman" w:hAnsi="Times New Roman"/>
          <w:szCs w:val="24"/>
          <w:vertAlign w:val="superscript"/>
        </w:rPr>
        <w:t>1</w:t>
      </w:r>
      <w:r>
        <w:rPr>
          <w:rFonts w:ascii="Times New Roman" w:cs="Times New Roman" w:hAnsi="Times New Roman"/>
          <w:szCs w:val="24"/>
          <w:vertAlign w:val="superscript"/>
        </w:rPr>
        <w:t xml:space="preserve"> </w:t>
      </w:r>
      <w:r>
        <w:rPr>
          <w:rFonts w:ascii="Times New Roman" w:cs="Times New Roman" w:hAnsi="Times New Roman"/>
          <w:szCs w:val="24"/>
          <w:lang w:bidi="ar-EG"/>
        </w:rPr>
        <w:t>and A</w:t>
      </w:r>
      <w:r>
        <w:rPr>
          <w:rFonts w:ascii="Times New Roman" w:cs="Times New Roman" w:hAnsi="Times New Roman"/>
          <w:szCs w:val="24"/>
          <w:lang w:bidi="ar-EG"/>
        </w:rPr>
        <w:t>liaa E. Daifalla</w:t>
      </w:r>
      <w:r>
        <w:rPr>
          <w:rFonts w:ascii="Times New Roman" w:cs="Times New Roman" w:hAnsi="Times New Roman"/>
          <w:szCs w:val="24"/>
          <w:vertAlign w:val="superscript"/>
          <w:lang w:bidi="ar-EG"/>
        </w:rPr>
        <w:t>1</w:t>
      </w:r>
    </w:p>
    <w:p>
      <w:pPr>
        <w:pStyle w:val="style0"/>
        <w:autoSpaceDE w:val="false"/>
        <w:autoSpaceDN w:val="false"/>
        <w:adjustRightInd w:val="false"/>
        <w:spacing w:after="0"/>
        <w:jc w:val="center"/>
        <w:rPr>
          <w:rFonts w:ascii="Times New Roman" w:cs="Times New Roman" w:hAnsi="Times New Roman"/>
          <w:szCs w:val="24"/>
        </w:rPr>
      </w:pPr>
      <w:r>
        <w:rPr>
          <w:rFonts w:ascii="Times New Roman" w:cs="Times New Roman" w:hAnsi="Times New Roman"/>
          <w:szCs w:val="24"/>
          <w:vertAlign w:val="superscript"/>
          <w:rtl/>
          <w:lang w:bidi="ar-EG"/>
        </w:rPr>
        <w:t>1</w:t>
      </w:r>
      <w:bookmarkStart w:id="0" w:name="_Hlk188705641"/>
      <w:r>
        <w:rPr>
          <w:rFonts w:ascii="Times New Roman" w:cs="Times New Roman" w:hAnsi="Times New Roman"/>
          <w:szCs w:val="24"/>
        </w:rPr>
        <w:t>Department of Dermatology, Venereology and Andrology, Faculty of Medicine, Benha University, Egypt</w:t>
      </w:r>
      <w:bookmarkEnd w:id="0"/>
    </w:p>
    <w:p>
      <w:pPr>
        <w:pStyle w:val="style0"/>
        <w:autoSpaceDE w:val="false"/>
        <w:autoSpaceDN w:val="false"/>
        <w:adjustRightInd w:val="false"/>
        <w:spacing w:after="0"/>
        <w:jc w:val="center"/>
        <w:rPr>
          <w:rFonts w:ascii="Times New Roman" w:cs="Times New Roman" w:hAnsi="Times New Roman"/>
          <w:szCs w:val="24"/>
        </w:rPr>
      </w:pPr>
      <w:r>
        <w:rPr>
          <w:rFonts w:ascii="Times New Roman" w:cs="Times New Roman" w:hAnsi="Times New Roman"/>
          <w:szCs w:val="24"/>
          <w:vertAlign w:val="superscript"/>
        </w:rPr>
        <w:t xml:space="preserve">2 </w:t>
      </w:r>
      <w:r>
        <w:rPr>
          <w:rFonts w:ascii="Times New Roman" w:cs="Times New Roman" w:hAnsi="Times New Roman"/>
          <w:szCs w:val="24"/>
        </w:rPr>
        <w:t>Department of Pathology, Faculty of Medicine, Benha University, Egypt</w:t>
      </w:r>
    </w:p>
    <w:p>
      <w:pPr>
        <w:pStyle w:val="style0"/>
        <w:autoSpaceDE w:val="false"/>
        <w:autoSpaceDN w:val="false"/>
        <w:adjustRightInd w:val="false"/>
        <w:spacing w:after="0"/>
        <w:jc w:val="center"/>
        <w:rPr>
          <w:rFonts w:ascii="Times New Roman" w:cs="Times New Roman" w:hAnsi="Times New Roman"/>
          <w:szCs w:val="24"/>
          <w:highlight w:val="green"/>
        </w:rPr>
      </w:pPr>
      <w:r>
        <w:rPr>
          <w:rFonts w:ascii="Times New Roman" w:cs="Times New Roman" w:hAnsi="Times New Roman"/>
          <w:szCs w:val="24"/>
          <w:vertAlign w:val="superscript"/>
        </w:rPr>
        <w:t xml:space="preserve"> </w:t>
      </w:r>
      <w:r>
        <w:rPr>
          <w:rFonts w:ascii="Times New Roman" w:cs="Times New Roman" w:hAnsi="Times New Roman"/>
          <w:szCs w:val="24"/>
          <w:highlight w:val="green"/>
        </w:rPr>
        <w:t>E-Mail: asmaasrhan2019@gmail.com</w:t>
      </w:r>
    </w:p>
    <w:p>
      <w:pPr>
        <w:pStyle w:val="style1"/>
        <w:keepNext w:val="false"/>
        <w:keepLines w:val="false"/>
        <w:spacing w:before="120" w:after="240" w:lineRule="auto" w:line="360"/>
        <w:jc w:val="both"/>
        <w:rPr>
          <w:rFonts w:ascii="Times New Roman" w:hAnsi="Times New Roman"/>
          <w:color w:val="auto"/>
          <w:sz w:val="24"/>
          <w:szCs w:val="24"/>
        </w:rPr>
      </w:pPr>
      <w:r>
        <w:rPr>
          <w:rFonts w:ascii="Times New Roman" w:hAnsi="Times New Roman"/>
          <w:color w:val="auto"/>
          <w:sz w:val="24"/>
          <w:szCs w:val="24"/>
        </w:rPr>
        <w:t>Abstract</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b/>
          <w:bCs/>
          <w:szCs w:val="24"/>
        </w:rPr>
        <w:t>Background</w:t>
      </w:r>
      <w:r>
        <w:rPr>
          <w:rFonts w:ascii="Times New Roman" w:cs="Times New Roman" w:hAnsi="Times New Roman"/>
          <w:szCs w:val="24"/>
        </w:rPr>
        <w:t xml:space="preserve">: Psoriasis vulgaris is a </w:t>
      </w:r>
      <w:r>
        <w:rPr>
          <w:rFonts w:ascii="Times New Roman" w:cs="Times New Roman" w:hAnsi="Times New Roman"/>
          <w:szCs w:val="24"/>
        </w:rPr>
        <w:t xml:space="preserve">common </w:t>
      </w:r>
      <w:r>
        <w:rPr>
          <w:rFonts w:ascii="Times New Roman" w:cs="Times New Roman" w:hAnsi="Times New Roman"/>
          <w:szCs w:val="24"/>
        </w:rPr>
        <w:t xml:space="preserve">chronic immune-mediated skin disease associated with dysregulated inflammation and </w:t>
      </w:r>
      <w:r>
        <w:rPr>
          <w:rFonts w:ascii="Times New Roman" w:cs="Times New Roman" w:hAnsi="Times New Roman"/>
          <w:szCs w:val="24"/>
        </w:rPr>
        <w:t xml:space="preserve">a number of comorbidities including diabetes, obesity, and </w:t>
      </w:r>
      <w:r>
        <w:rPr>
          <w:rFonts w:ascii="Times New Roman" w:cs="Times New Roman" w:hAnsi="Times New Roman"/>
          <w:szCs w:val="24"/>
        </w:rPr>
        <w:t>metabolic</w:t>
      </w:r>
      <w:r>
        <w:rPr>
          <w:rFonts w:ascii="Times New Roman" w:cs="Times New Roman" w:hAnsi="Times New Roman"/>
          <w:szCs w:val="24"/>
        </w:rPr>
        <w:t xml:space="preserve"> dysfunction</w:t>
      </w:r>
      <w:r>
        <w:rPr>
          <w:rFonts w:ascii="Times New Roman" w:cs="Times New Roman" w:hAnsi="Times New Roman"/>
          <w:szCs w:val="24"/>
        </w:rPr>
        <w:t>. I</w:t>
      </w:r>
      <w:r>
        <w:rPr>
          <w:rFonts w:ascii="Times New Roman" w:cs="Times New Roman" w:hAnsi="Times New Roman"/>
          <w:szCs w:val="24"/>
        </w:rPr>
        <w:t>nterlukin</w:t>
      </w:r>
      <w:r>
        <w:rPr>
          <w:rFonts w:ascii="Times New Roman" w:cs="Times New Roman" w:hAnsi="Times New Roman"/>
          <w:szCs w:val="24"/>
        </w:rPr>
        <w:t>-17A</w:t>
      </w:r>
      <w:r>
        <w:rPr>
          <w:rFonts w:ascii="Times New Roman" w:cs="Times New Roman" w:hAnsi="Times New Roman"/>
          <w:szCs w:val="24"/>
        </w:rPr>
        <w:t xml:space="preserve"> (IL-17A)</w:t>
      </w:r>
      <w:r>
        <w:rPr>
          <w:rFonts w:ascii="Times New Roman" w:cs="Times New Roman" w:hAnsi="Times New Roman"/>
          <w:szCs w:val="24"/>
        </w:rPr>
        <w:t xml:space="preserve"> </w:t>
      </w:r>
      <w:r>
        <w:rPr>
          <w:rFonts w:ascii="Times New Roman" w:cs="Times New Roman" w:hAnsi="Times New Roman"/>
          <w:szCs w:val="24"/>
        </w:rPr>
        <w:t>is highly</w:t>
      </w:r>
      <w:r>
        <w:rPr>
          <w:rFonts w:ascii="Times New Roman" w:cs="Times New Roman" w:hAnsi="Times New Roman"/>
          <w:szCs w:val="24"/>
        </w:rPr>
        <w:t xml:space="preserve"> differentially</w:t>
      </w:r>
      <w:r>
        <w:rPr>
          <w:rFonts w:ascii="Times New Roman" w:cs="Times New Roman" w:hAnsi="Times New Roman"/>
          <w:szCs w:val="24"/>
        </w:rPr>
        <w:t xml:space="preserve"> expressed </w:t>
      </w:r>
      <w:r>
        <w:rPr>
          <w:rFonts w:ascii="Times New Roman" w:cs="Times New Roman" w:hAnsi="Times New Roman"/>
          <w:szCs w:val="24"/>
        </w:rPr>
        <w:t xml:space="preserve">in psoriatic skin lesions and </w:t>
      </w:r>
      <w:r>
        <w:rPr>
          <w:rFonts w:ascii="Times New Roman" w:cs="Times New Roman" w:hAnsi="Times New Roman"/>
          <w:szCs w:val="24"/>
        </w:rPr>
        <w:t>plays a pivotal role in psoriasis pathogenesis</w:t>
      </w:r>
      <w:r>
        <w:rPr>
          <w:rFonts w:ascii="Times New Roman" w:cs="Times New Roman" w:hAnsi="Times New Roman"/>
          <w:szCs w:val="24"/>
        </w:rPr>
        <w:t>.</w:t>
      </w:r>
      <w:r>
        <w:rPr>
          <w:rFonts w:ascii="Times New Roman" w:cs="Times New Roman" w:hAnsi="Times New Roman"/>
          <w:szCs w:val="24"/>
        </w:rPr>
        <w:t xml:space="preserve"> on the other hand, an important regulatory mechanism </w:t>
      </w:r>
      <w:r>
        <w:rPr>
          <w:rFonts w:ascii="Times New Roman" w:cs="Times New Roman" w:hAnsi="Times New Roman"/>
          <w:szCs w:val="24"/>
        </w:rPr>
        <w:t>implicated in lipid metabolism</w:t>
      </w:r>
      <w:r>
        <w:rPr>
          <w:rFonts w:ascii="Times New Roman" w:cs="Times New Roman" w:hAnsi="Times New Roman"/>
          <w:szCs w:val="24"/>
        </w:rPr>
        <w:t xml:space="preserve"> is sterol regulatory element-binding protein 2 (</w:t>
      </w:r>
      <w:r>
        <w:rPr>
          <w:rFonts w:ascii="Times New Roman" w:cs="Times New Roman" w:hAnsi="Times New Roman"/>
          <w:szCs w:val="24"/>
        </w:rPr>
        <w:t>SREBP2</w:t>
      </w:r>
      <w:r>
        <w:rPr>
          <w:rFonts w:ascii="Times New Roman" w:cs="Times New Roman" w:hAnsi="Times New Roman"/>
          <w:szCs w:val="24"/>
        </w:rPr>
        <w:t>)</w:t>
      </w:r>
      <w:r>
        <w:rPr>
          <w:rFonts w:ascii="Times New Roman" w:cs="Times New Roman" w:hAnsi="Times New Roman"/>
          <w:szCs w:val="24"/>
        </w:rPr>
        <w:t>.</w:t>
      </w:r>
      <w:r>
        <w:rPr>
          <w:rFonts w:ascii="Times New Roman" w:cs="Times New Roman" w:hAnsi="Times New Roman"/>
          <w:szCs w:val="24"/>
        </w:rPr>
        <w:t xml:space="preserve"> </w:t>
      </w:r>
      <w:r>
        <w:rPr>
          <w:rFonts w:ascii="Times New Roman" w:cs="Times New Roman" w:hAnsi="Times New Roman"/>
          <w:b/>
          <w:bCs/>
          <w:szCs w:val="24"/>
        </w:rPr>
        <w:t>Aim:</w:t>
      </w:r>
      <w:r>
        <w:rPr>
          <w:rFonts w:ascii="Times New Roman" w:cs="Times New Roman" w:hAnsi="Times New Roman"/>
          <w:szCs w:val="24"/>
        </w:rPr>
        <w:t xml:space="preserve"> </w:t>
      </w:r>
      <w:r>
        <w:rPr>
          <w:rFonts w:ascii="Times New Roman" w:cs="Times New Roman" w:hAnsi="Times New Roman"/>
          <w:szCs w:val="24"/>
        </w:rPr>
        <w:t>Th</w:t>
      </w:r>
      <w:r>
        <w:rPr>
          <w:rFonts w:ascii="Times New Roman" w:cs="Times New Roman" w:hAnsi="Times New Roman"/>
          <w:szCs w:val="24"/>
        </w:rPr>
        <w:t>e</w:t>
      </w:r>
      <w:r>
        <w:rPr>
          <w:rFonts w:ascii="Times New Roman" w:cs="Times New Roman" w:hAnsi="Times New Roman"/>
          <w:szCs w:val="24"/>
        </w:rPr>
        <w:t xml:space="preserve"> study aimed to evaluate the</w:t>
      </w:r>
      <w:r>
        <w:rPr>
          <w:rFonts w:ascii="Times New Roman" w:cs="Times New Roman" w:hAnsi="Times New Roman"/>
          <w:szCs w:val="24"/>
        </w:rPr>
        <w:t xml:space="preserve"> skin lesions expression of </w:t>
      </w:r>
      <w:r>
        <w:rPr>
          <w:rFonts w:ascii="Times New Roman" w:cs="Times New Roman" w:hAnsi="Times New Roman"/>
          <w:szCs w:val="24"/>
        </w:rPr>
        <w:t>SREBP2</w:t>
      </w:r>
      <w:r>
        <w:rPr>
          <w:rFonts w:ascii="Times New Roman" w:cs="Times New Roman" w:hAnsi="Times New Roman"/>
          <w:szCs w:val="24"/>
        </w:rPr>
        <w:t>, its relation to IL-17A expression and the</w:t>
      </w:r>
      <w:r>
        <w:rPr>
          <w:rFonts w:ascii="Times New Roman" w:cs="Times New Roman" w:hAnsi="Times New Roman"/>
          <w:szCs w:val="24"/>
        </w:rPr>
        <w:t xml:space="preserve"> impact of NB-UVB phototherapy on </w:t>
      </w:r>
      <w:r>
        <w:rPr>
          <w:rFonts w:ascii="Times New Roman" w:cs="Times New Roman" w:hAnsi="Times New Roman"/>
          <w:szCs w:val="24"/>
        </w:rPr>
        <w:t xml:space="preserve">both </w:t>
      </w:r>
      <w:r>
        <w:rPr>
          <w:rFonts w:ascii="Times New Roman" w:cs="Times New Roman" w:hAnsi="Times New Roman"/>
          <w:szCs w:val="24"/>
        </w:rPr>
        <w:t>in patients with psoriasis vulgaris.</w:t>
      </w:r>
      <w:r>
        <w:rPr>
          <w:rFonts w:ascii="Times New Roman" w:cs="Times New Roman" w:hAnsi="Times New Roman"/>
          <w:szCs w:val="24"/>
        </w:rPr>
        <w:t xml:space="preserve"> </w:t>
      </w:r>
      <w:r>
        <w:rPr>
          <w:rFonts w:ascii="Times New Roman" w:cs="Times New Roman" w:hAnsi="Times New Roman"/>
          <w:b/>
          <w:bCs/>
          <w:szCs w:val="24"/>
        </w:rPr>
        <w:t>Methods</w:t>
      </w:r>
      <w:r>
        <w:rPr>
          <w:rFonts w:ascii="Times New Roman" w:cs="Times New Roman" w:hAnsi="Times New Roman"/>
          <w:szCs w:val="24"/>
        </w:rPr>
        <w:t>: This case-control study included 40 participants (20 patients with psoriasis vulgaris and 20 healthy controls). Tissue biopsies were taken from psoriatic lesions before and after 20 sessions of narrow-band UVB phototherapy. Immunohistochemical staining was performed to assess IL-17A and SREBP2 expression scores. PASI score and metabolic parameters were also evaluated.</w:t>
      </w:r>
      <w:r>
        <w:rPr>
          <w:rFonts w:ascii="Times New Roman" w:cs="Times New Roman" w:hAnsi="Times New Roman"/>
          <w:szCs w:val="24"/>
        </w:rPr>
        <w:t xml:space="preserve"> </w:t>
      </w:r>
      <w:r>
        <w:rPr>
          <w:rFonts w:ascii="Times New Roman" w:cs="Times New Roman" w:hAnsi="Times New Roman"/>
          <w:b/>
          <w:bCs/>
          <w:szCs w:val="24"/>
        </w:rPr>
        <w:t>Results:</w:t>
      </w:r>
      <w:r>
        <w:rPr>
          <w:rFonts w:ascii="Times New Roman" w:cs="Times New Roman" w:hAnsi="Times New Roman"/>
          <w:szCs w:val="24"/>
        </w:rPr>
        <w:t xml:space="preserve"> Before treatment, psoriasis patients had significantly lower SREBP2 expression (mean: 0.75 ± 0.64) compared to controls (mean: 2.4 ± 1.14, p &lt; 0.001), and markedly higher IL-17A expression (mean: 2.6 ± 0.99 vs 0 in controls, p &lt; 0.001). Following phototherapy, SREBP2 expression significantly increased (mean: 1.45 ± 1.36, p = 0.014), while IL-17A expression significantly decreased (mean: 1.75 ± 1.29, p = 0.003). PASI score dropped significantly (from 27.36 ± 10.52 to 14.18 ± 9.81, p &lt; 0.001). IL-17A expression correlated negatively with PASI after treatment (p = 0.002).</w:t>
      </w:r>
      <w:r>
        <w:rPr>
          <w:rFonts w:ascii="Times New Roman" w:cs="Times New Roman" w:hAnsi="Times New Roman"/>
          <w:szCs w:val="24"/>
        </w:rPr>
        <w:t xml:space="preserve"> </w:t>
      </w:r>
      <w:r>
        <w:rPr>
          <w:rFonts w:ascii="Times New Roman" w:cs="Times New Roman" w:hAnsi="Times New Roman"/>
          <w:szCs w:val="24"/>
        </w:rPr>
        <w:t xml:space="preserve"> </w:t>
      </w:r>
      <w:r>
        <w:rPr>
          <w:rFonts w:ascii="Times New Roman" w:cs="Times New Roman" w:hAnsi="Times New Roman"/>
          <w:b/>
          <w:bCs/>
          <w:szCs w:val="24"/>
        </w:rPr>
        <w:t>Conclusion</w:t>
      </w:r>
      <w:r>
        <w:rPr>
          <w:rFonts w:ascii="Times New Roman" w:cs="Times New Roman" w:hAnsi="Times New Roman"/>
          <w:szCs w:val="24"/>
        </w:rPr>
        <w:t xml:space="preserve">: NB-UVB phototherapy effectively reduces disease activity in psoriasis, downregulating IL-17A and upregulating SREBP2 expression. IL-17A may serve as a predictive biomarker of </w:t>
      </w:r>
      <w:r>
        <w:rPr>
          <w:rFonts w:ascii="Times New Roman" w:cs="Times New Roman" w:hAnsi="Times New Roman"/>
          <w:szCs w:val="24"/>
        </w:rPr>
        <w:t>therapeutic effect of NB-UVB</w:t>
      </w:r>
      <w:r>
        <w:rPr>
          <w:rFonts w:ascii="Times New Roman" w:cs="Times New Roman" w:hAnsi="Times New Roman"/>
          <w:szCs w:val="24"/>
        </w:rPr>
        <w:t xml:space="preserve">, while SREBP2 may reflect </w:t>
      </w:r>
      <w:r>
        <w:rPr>
          <w:rFonts w:ascii="Times New Roman" w:cs="Times New Roman" w:hAnsi="Times New Roman"/>
          <w:szCs w:val="24"/>
        </w:rPr>
        <w:t xml:space="preserve">NB-UVB beneficial </w:t>
      </w:r>
      <w:r>
        <w:rPr>
          <w:rFonts w:ascii="Times New Roman" w:cs="Times New Roman" w:hAnsi="Times New Roman"/>
          <w:szCs w:val="24"/>
        </w:rPr>
        <w:t>metabolic restoration</w:t>
      </w:r>
      <w:r>
        <w:rPr>
          <w:rFonts w:ascii="Times New Roman" w:cs="Times New Roman" w:hAnsi="Times New Roman"/>
          <w:szCs w:val="24"/>
        </w:rPr>
        <w:t xml:space="preserve"> in psoriasis vulgaris patients. </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b/>
          <w:bCs/>
          <w:szCs w:val="24"/>
        </w:rPr>
        <w:t>Keywords:</w:t>
      </w:r>
      <w:r>
        <w:rPr>
          <w:rFonts w:ascii="Times New Roman" w:cs="Times New Roman" w:hAnsi="Times New Roman"/>
          <w:szCs w:val="24"/>
        </w:rPr>
        <w:t xml:space="preserve"> Psoriasis vulgaris, IL-17A, SREBP2, NB-UVB</w:t>
      </w:r>
    </w:p>
    <w:p>
      <w:pPr>
        <w:pStyle w:val="style0"/>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Introduction</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Psoriasis vulgaris is a chronic, immune-mediated inflammatory skin disease</w:t>
      </w:r>
      <w:r>
        <w:rPr>
          <w:rFonts w:ascii="Times New Roman" w:cs="Times New Roman" w:hAnsi="Times New Roman"/>
          <w:szCs w:val="24"/>
        </w:rPr>
        <w:t xml:space="preserve"> </w:t>
      </w:r>
      <w:r>
        <w:rPr>
          <w:rFonts w:ascii="Times New Roman" w:cs="Times New Roman" w:hAnsi="Times New Roman"/>
          <w:szCs w:val="24"/>
          <w:vertAlign w:val="superscript"/>
        </w:rPr>
        <w:t>(</w:t>
      </w:r>
      <w:r>
        <w:rPr>
          <w:rFonts w:ascii="Times New Roman" w:cs="Times New Roman" w:hAnsi="Times New Roman"/>
          <w:szCs w:val="24"/>
          <w:vertAlign w:val="superscript"/>
        </w:rPr>
        <w:t>1]</w:t>
      </w:r>
      <w:r>
        <w:rPr>
          <w:rFonts w:ascii="Times New Roman" w:cs="Times New Roman" w:hAnsi="Times New Roman"/>
          <w:szCs w:val="24"/>
          <w:vertAlign w:val="superscript"/>
        </w:rPr>
        <w:t>)</w:t>
      </w:r>
      <w:r>
        <w:rPr>
          <w:rFonts w:ascii="Times New Roman" w:cs="Times New Roman" w:hAnsi="Times New Roman"/>
          <w:szCs w:val="24"/>
        </w:rPr>
        <w:t xml:space="preserve"> that affects approximately 2–3% of the global population. It is characterized by epidermal hyperproliferation, abnormal keratinocyte differentiation, and a complex interplay between genetic, environmental, and immunologic factors</w:t>
      </w:r>
      <w:r>
        <w:rPr>
          <w:rFonts w:ascii="Times New Roman" w:cs="Times New Roman" w:hAnsi="Times New Roman"/>
          <w:szCs w:val="24"/>
        </w:rPr>
        <w:t xml:space="preserve"> </w:t>
      </w:r>
      <w:r>
        <w:rPr>
          <w:rFonts w:ascii="Times New Roman" w:cs="Times New Roman" w:hAnsi="Times New Roman"/>
          <w:szCs w:val="24"/>
          <w:vertAlign w:val="superscript"/>
        </w:rPr>
        <w:t>(2)</w:t>
      </w:r>
      <w:r>
        <w:rPr>
          <w:rFonts w:ascii="Times New Roman" w:cs="Times New Roman" w:hAnsi="Times New Roman"/>
          <w:szCs w:val="24"/>
        </w:rPr>
        <w:t>. Among the cytokines involved in its pathogenesis, interleukin-17A (IL-17A) has emerged as a central mediator</w:t>
      </w:r>
      <w:r>
        <w:rPr>
          <w:rFonts w:ascii="Times New Roman" w:cs="Times New Roman" w:hAnsi="Times New Roman"/>
          <w:szCs w:val="24"/>
        </w:rPr>
        <w:t xml:space="preserve"> </w:t>
      </w:r>
      <w:r>
        <w:rPr>
          <w:rFonts w:ascii="Times New Roman" w:cs="Times New Roman" w:hAnsi="Times New Roman"/>
          <w:szCs w:val="24"/>
        </w:rPr>
        <w:t>orchestrating neutrophilic inflmmation, keratinocyte activation, and perpetuation of the</w:t>
      </w:r>
      <w:r>
        <w:rPr>
          <w:rFonts w:ascii="Times New Roman" w:cs="Times New Roman" w:hAnsi="Times New Roman"/>
          <w:szCs w:val="24"/>
        </w:rPr>
        <w:t xml:space="preserve"> </w:t>
      </w:r>
      <w:r>
        <w:rPr>
          <w:rFonts w:ascii="Times New Roman" w:cs="Times New Roman" w:hAnsi="Times New Roman"/>
          <w:szCs w:val="24"/>
        </w:rPr>
        <w:t>psoriatic</w:t>
      </w:r>
      <w:r>
        <w:rPr>
          <w:rFonts w:ascii="Times New Roman" w:cs="Times New Roman" w:hAnsi="Times New Roman"/>
          <w:szCs w:val="24"/>
        </w:rPr>
        <w:t xml:space="preserve"> </w:t>
      </w:r>
      <w:r>
        <w:rPr>
          <w:rFonts w:ascii="Times New Roman" w:cs="Times New Roman" w:hAnsi="Times New Roman"/>
          <w:szCs w:val="24"/>
        </w:rPr>
        <w:t>plaque</w:t>
      </w:r>
      <w:r>
        <w:rPr>
          <w:rFonts w:ascii="Times New Roman" w:cs="Times New Roman" w:hAnsi="Times New Roman"/>
          <w:szCs w:val="24"/>
          <w:vertAlign w:val="superscript"/>
        </w:rPr>
        <w:t xml:space="preserve"> (3)</w:t>
      </w:r>
      <w:r>
        <w:rPr>
          <w:rFonts w:ascii="Times New Roman" w:cs="Times New Roman" w:hAnsi="Times New Roman"/>
          <w:szCs w:val="24"/>
        </w:rPr>
        <w:t>.</w:t>
      </w:r>
      <w:r>
        <w:rPr>
          <w:rFonts w:ascii="Times New Roman" w:cs="Times New Roman" w:hAnsi="Times New Roman"/>
          <w:szCs w:val="24"/>
          <w:vertAlign w:val="superscript"/>
        </w:rPr>
        <w:t>.</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 xml:space="preserve">Since 2011, </w:t>
      </w:r>
      <w:r>
        <w:rPr>
          <w:rFonts w:ascii="Times New Roman" w:cs="Times New Roman" w:hAnsi="Times New Roman"/>
          <w:szCs w:val="24"/>
        </w:rPr>
        <w:t>A</w:t>
      </w:r>
      <w:r>
        <w:rPr>
          <w:rFonts w:ascii="Times New Roman" w:cs="Times New Roman" w:hAnsi="Times New Roman"/>
          <w:szCs w:val="24"/>
        </w:rPr>
        <w:t xml:space="preserve">ttention has </w:t>
      </w:r>
      <w:r>
        <w:rPr>
          <w:rFonts w:ascii="Times New Roman" w:cs="Times New Roman" w:hAnsi="Times New Roman"/>
          <w:szCs w:val="24"/>
        </w:rPr>
        <w:t xml:space="preserve">been </w:t>
      </w:r>
      <w:r>
        <w:rPr>
          <w:rFonts w:ascii="Times New Roman" w:cs="Times New Roman" w:hAnsi="Times New Roman"/>
          <w:szCs w:val="24"/>
        </w:rPr>
        <w:t>shifted to the metabolic comorbidities commonly associated with psoriasis</w:t>
      </w:r>
      <w:r>
        <w:rPr>
          <w:rFonts w:ascii="Times New Roman" w:cs="Times New Roman" w:hAnsi="Times New Roman"/>
          <w:szCs w:val="24"/>
          <w:vertAlign w:val="superscript"/>
        </w:rPr>
        <w:t xml:space="preserve"> </w:t>
      </w:r>
      <w:r>
        <w:rPr>
          <w:rFonts w:ascii="Times New Roman" w:cs="Times New Roman" w:hAnsi="Times New Roman"/>
          <w:szCs w:val="24"/>
        </w:rPr>
        <w:t xml:space="preserve">including </w:t>
      </w:r>
      <w:r>
        <w:rPr>
          <w:rFonts w:ascii="Times New Roman" w:cs="Times New Roman" w:hAnsi="Times New Roman"/>
          <w:szCs w:val="24"/>
        </w:rPr>
        <w:t xml:space="preserve">cardiovascular abnormalities, </w:t>
      </w:r>
      <w:r>
        <w:rPr>
          <w:rFonts w:ascii="Times New Roman" w:cs="Times New Roman" w:hAnsi="Times New Roman"/>
          <w:szCs w:val="24"/>
        </w:rPr>
        <w:t>obesity, dyslipidemia, insulin resistance</w:t>
      </w:r>
      <w:r>
        <w:rPr>
          <w:rFonts w:ascii="Times New Roman" w:cs="Times New Roman" w:hAnsi="Times New Roman"/>
          <w:szCs w:val="24"/>
        </w:rPr>
        <w:t xml:space="preserve"> and inflammatory bowel disease </w:t>
      </w:r>
      <w:r>
        <w:rPr>
          <w:rFonts w:ascii="Times New Roman" w:cs="Times New Roman" w:hAnsi="Times New Roman"/>
          <w:szCs w:val="24"/>
          <w:vertAlign w:val="superscript"/>
        </w:rPr>
        <w:t>(6)</w:t>
      </w:r>
      <w:r>
        <w:rPr>
          <w:rFonts w:ascii="Times New Roman" w:cs="Times New Roman" w:hAnsi="Times New Roman"/>
          <w:szCs w:val="24"/>
        </w:rPr>
        <w:t xml:space="preserve">. </w:t>
      </w:r>
      <w:r>
        <w:rPr>
          <w:rFonts w:ascii="Times New Roman" w:cs="Times New Roman" w:hAnsi="Times New Roman"/>
          <w:szCs w:val="24"/>
        </w:rPr>
        <w:t>It was suggested that m</w:t>
      </w:r>
      <w:r>
        <w:rPr>
          <w:rFonts w:ascii="Times New Roman" w:cs="Times New Roman" w:hAnsi="Times New Roman"/>
          <w:szCs w:val="24"/>
        </w:rPr>
        <w:t>etabolic changes may not merely coexist with psoriasis but actively contribute to its inflammatory burden</w:t>
      </w:r>
      <w:r>
        <w:rPr>
          <w:rFonts w:ascii="Times New Roman" w:cs="Times New Roman" w:hAnsi="Times New Roman"/>
          <w:szCs w:val="24"/>
        </w:rPr>
        <w:t xml:space="preserve"> </w:t>
      </w:r>
      <w:r>
        <w:rPr>
          <w:rFonts w:ascii="Times New Roman" w:cs="Times New Roman" w:hAnsi="Times New Roman"/>
          <w:szCs w:val="24"/>
          <w:vertAlign w:val="superscript"/>
        </w:rPr>
        <w:t>(8)</w:t>
      </w:r>
      <w:r>
        <w:rPr>
          <w:rFonts w:ascii="Times New Roman" w:cs="Times New Roman" w:hAnsi="Times New Roman"/>
          <w:szCs w:val="24"/>
          <w:vertAlign w:val="superscript"/>
        </w:rPr>
        <w:t>.</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One of the key regulators of lipid metabolism is Sterol Regulatory Element-Binding Protein 2 (SREBP2), a transcription factor involved in cholesterol homeostasis and cellular lipid synthesis</w:t>
      </w:r>
      <w:r>
        <w:rPr>
          <w:rFonts w:ascii="Times New Roman" w:cs="Times New Roman" w:hAnsi="Times New Roman"/>
          <w:szCs w:val="24"/>
          <w:vertAlign w:val="superscript"/>
        </w:rPr>
        <w:t>(5)</w:t>
      </w:r>
      <w:r>
        <w:rPr>
          <w:rFonts w:ascii="Times New Roman" w:cs="Times New Roman" w:hAnsi="Times New Roman"/>
          <w:szCs w:val="24"/>
        </w:rPr>
        <w:t>. Experimental evidence suggests that SREBP2 may also be involved in modulating immune responses and linking metabolic imbalance to chronic inflammation</w:t>
      </w:r>
      <w:r>
        <w:rPr>
          <w:rFonts w:ascii="Times New Roman" w:cs="Times New Roman" w:hAnsi="Times New Roman"/>
          <w:szCs w:val="24"/>
          <w:vertAlign w:val="superscript"/>
        </w:rPr>
        <w:t xml:space="preserve"> (9)</w:t>
      </w:r>
      <w:r>
        <w:rPr>
          <w:rFonts w:ascii="Times New Roman" w:cs="Times New Roman" w:hAnsi="Times New Roman"/>
          <w:szCs w:val="24"/>
        </w:rPr>
        <w:t>.</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For management of psoriasis, N</w:t>
      </w:r>
      <w:r>
        <w:rPr>
          <w:rFonts w:ascii="Times New Roman" w:cs="Times New Roman" w:hAnsi="Times New Roman"/>
          <w:szCs w:val="24"/>
        </w:rPr>
        <w:t>arrow-</w:t>
      </w:r>
      <w:r>
        <w:rPr>
          <w:rFonts w:ascii="Times New Roman" w:cs="Times New Roman" w:hAnsi="Times New Roman"/>
          <w:szCs w:val="24"/>
        </w:rPr>
        <w:t>B</w:t>
      </w:r>
      <w:r>
        <w:rPr>
          <w:rFonts w:ascii="Times New Roman" w:cs="Times New Roman" w:hAnsi="Times New Roman"/>
          <w:szCs w:val="24"/>
        </w:rPr>
        <w:t xml:space="preserve">and </w:t>
      </w:r>
      <w:r>
        <w:rPr>
          <w:rFonts w:ascii="Times New Roman" w:cs="Times New Roman" w:hAnsi="Times New Roman"/>
          <w:szCs w:val="24"/>
        </w:rPr>
        <w:t>U</w:t>
      </w:r>
      <w:r>
        <w:rPr>
          <w:rFonts w:ascii="Times New Roman" w:cs="Times New Roman" w:hAnsi="Times New Roman"/>
          <w:szCs w:val="24"/>
        </w:rPr>
        <w:t>ltraviolet B (NB-UVB)</w:t>
      </w:r>
      <w:r>
        <w:rPr>
          <w:rFonts w:ascii="Times New Roman" w:cs="Times New Roman" w:hAnsi="Times New Roman"/>
          <w:szCs w:val="24"/>
        </w:rPr>
        <w:t xml:space="preserve"> phototherapy </w:t>
      </w:r>
      <w:r>
        <w:rPr>
          <w:rFonts w:ascii="Times New Roman" w:cs="Times New Roman" w:hAnsi="Times New Roman"/>
          <w:szCs w:val="24"/>
        </w:rPr>
        <w:t>remains a cornerstone in the management of moderate-to-severe psoriasis. NB-UVB therapy exerts immunosuppressive and anti-inflammatory effects</w:t>
      </w:r>
      <w:r>
        <w:rPr>
          <w:rFonts w:ascii="Times New Roman" w:cs="Times New Roman" w:hAnsi="Times New Roman"/>
          <w:szCs w:val="24"/>
        </w:rPr>
        <w:t xml:space="preserve"> </w:t>
      </w:r>
      <w:r>
        <w:rPr>
          <w:rFonts w:ascii="Times New Roman" w:cs="Times New Roman" w:hAnsi="Times New Roman"/>
          <w:szCs w:val="24"/>
          <w:vertAlign w:val="superscript"/>
        </w:rPr>
        <w:t>(7)</w:t>
      </w:r>
      <w:r>
        <w:rPr>
          <w:rFonts w:ascii="Times New Roman" w:cs="Times New Roman" w:hAnsi="Times New Roman"/>
          <w:szCs w:val="24"/>
        </w:rPr>
        <w:t>, yet its impact on the molecular expression of both pro-inflammatory cytokines and metabolic regulators in psoriatic lesions remains incompletely understood.</w:t>
      </w:r>
    </w:p>
    <w:p>
      <w:pPr>
        <w:pStyle w:val="style0"/>
        <w:spacing w:before="120" w:after="240" w:lineRule="auto" w:line="360"/>
        <w:jc w:val="both"/>
        <w:rPr>
          <w:rFonts w:ascii="Times New Roman" w:cs="Times New Roman" w:hAnsi="Times New Roman"/>
          <w:b/>
          <w:bCs/>
          <w:szCs w:val="24"/>
        </w:rPr>
      </w:pPr>
      <w:r>
        <w:rPr>
          <w:rFonts w:ascii="Times New Roman" w:cs="Times New Roman" w:hAnsi="Times New Roman"/>
          <w:szCs w:val="24"/>
        </w:rPr>
        <w:t xml:space="preserve">The current </w:t>
      </w:r>
      <w:r>
        <w:rPr>
          <w:rFonts w:ascii="Times New Roman" w:cs="Times New Roman" w:hAnsi="Times New Roman"/>
          <w:szCs w:val="24"/>
        </w:rPr>
        <w:t xml:space="preserve">study </w:t>
      </w:r>
      <w:r>
        <w:rPr>
          <w:rFonts w:ascii="Times New Roman" w:cs="Times New Roman" w:hAnsi="Times New Roman"/>
          <w:szCs w:val="24"/>
        </w:rPr>
        <w:t xml:space="preserve">aimed to </w:t>
      </w:r>
      <w:r>
        <w:rPr>
          <w:rFonts w:ascii="Times New Roman" w:cs="Times New Roman" w:hAnsi="Times New Roman"/>
          <w:szCs w:val="24"/>
        </w:rPr>
        <w:t xml:space="preserve">explore the tissue levels of </w:t>
      </w:r>
      <w:r>
        <w:rPr>
          <w:rFonts w:ascii="Times New Roman" w:cs="Times New Roman" w:hAnsi="Times New Roman"/>
          <w:szCs w:val="24"/>
        </w:rPr>
        <w:t xml:space="preserve">SREBP2 </w:t>
      </w:r>
      <w:r>
        <w:rPr>
          <w:rFonts w:ascii="Times New Roman" w:cs="Times New Roman" w:hAnsi="Times New Roman"/>
          <w:szCs w:val="24"/>
        </w:rPr>
        <w:t xml:space="preserve">in psoriasis patients , compare it to its level in control subjects, determine its relation to IL-17A expression and of </w:t>
      </w:r>
      <w:r>
        <w:rPr>
          <w:rFonts w:ascii="Times New Roman" w:cs="Times New Roman" w:hAnsi="Times New Roman"/>
          <w:szCs w:val="24"/>
        </w:rPr>
        <w:t>investigate the effect of NB-UVB phototherapy on tissue expression of IL-17A and SREBP2 in patients with psoriasis vulgaris. Understanding the dual immunologic and metabolic responses to phototherapy may provide new insights into psoriasis pathophysiology and help identify predictive biomarkers of therapeutic response.</w:t>
      </w:r>
      <w:r>
        <w:rPr>
          <w:rFonts w:ascii="Times New Roman" w:cs="Times New Roman" w:hAnsi="Times New Roman"/>
          <w:szCs w:val="24"/>
        </w:rPr>
        <w:t xml:space="preserve"> </w:t>
      </w:r>
    </w:p>
    <w:p>
      <w:pPr>
        <w:pStyle w:val="style0"/>
        <w:spacing w:before="120" w:after="240" w:lineRule="auto" w:line="360"/>
        <w:jc w:val="both"/>
        <w:rPr>
          <w:rFonts w:ascii="Times New Roman" w:cs="Times New Roman" w:hAnsi="Times New Roman"/>
          <w:b/>
          <w:bCs/>
          <w:szCs w:val="24"/>
        </w:rPr>
      </w:pPr>
    </w:p>
    <w:p>
      <w:pPr>
        <w:pStyle w:val="style0"/>
        <w:spacing w:before="120" w:after="240" w:lineRule="auto" w:line="360"/>
        <w:jc w:val="both"/>
        <w:rPr>
          <w:rFonts w:ascii="Times New Roman" w:cs="Times New Roman" w:hAnsi="Times New Roman"/>
          <w:b/>
          <w:bCs/>
          <w:szCs w:val="24"/>
        </w:rPr>
      </w:pPr>
    </w:p>
    <w:p>
      <w:pPr>
        <w:pStyle w:val="style0"/>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 xml:space="preserve">Materials and Methods </w:t>
      </w:r>
    </w:p>
    <w:p>
      <w:pPr>
        <w:pStyle w:val="style0"/>
        <w:spacing w:after="0" w:lineRule="auto" w:line="360"/>
        <w:jc w:val="both"/>
        <w:rPr>
          <w:rFonts w:ascii="Times New Roman" w:cs="Times New Roman" w:hAnsi="Times New Roman"/>
          <w:szCs w:val="24"/>
        </w:rPr>
      </w:pPr>
      <w:r>
        <w:rPr>
          <w:rFonts w:ascii="Times New Roman" w:cs="Times New Roman" w:hAnsi="Times New Roman"/>
          <w:b/>
          <w:bCs/>
          <w:szCs w:val="24"/>
        </w:rPr>
        <w:t>Study Design and Participants</w:t>
      </w:r>
      <w:r>
        <w:rPr>
          <w:rFonts w:ascii="Times New Roman" w:cs="Times New Roman" w:hAnsi="Times New Roman"/>
          <w:b/>
          <w:bCs/>
          <w:szCs w:val="24"/>
        </w:rPr>
        <w:t xml:space="preserve">: </w:t>
      </w:r>
      <w:r>
        <w:rPr>
          <w:rFonts w:ascii="Times New Roman" w:cs="Times New Roman" w:hAnsi="Times New Roman"/>
          <w:szCs w:val="24"/>
        </w:rPr>
        <w:t>A controlled, prospective study was conducted on 40 individuals: 20 patients diagnosed with psoriasis vulgaris and 20 age- and sex-matched healthy controls. The study was approved by the ethic</w:t>
      </w:r>
      <w:r>
        <w:rPr>
          <w:rFonts w:ascii="Times New Roman" w:cs="Times New Roman" w:hAnsi="Times New Roman"/>
          <w:szCs w:val="24"/>
        </w:rPr>
        <w:t xml:space="preserve">al </w:t>
      </w:r>
      <w:r>
        <w:rPr>
          <w:rFonts w:ascii="Times New Roman" w:cs="Times New Roman" w:hAnsi="Times New Roman"/>
          <w:szCs w:val="24"/>
        </w:rPr>
        <w:t>committee of Benha Faculty of Medicine</w:t>
      </w:r>
      <w:r>
        <w:rPr>
          <w:rFonts w:ascii="Times New Roman" w:cs="Times New Roman" w:hAnsi="Times New Roman"/>
          <w:szCs w:val="24"/>
        </w:rPr>
        <w:t xml:space="preserve"> (approval number: MD 10-8-2022). I</w:t>
      </w:r>
      <w:r>
        <w:rPr>
          <w:rFonts w:ascii="Times New Roman" w:cs="Times New Roman" w:hAnsi="Times New Roman"/>
          <w:szCs w:val="24"/>
        </w:rPr>
        <w:t>nformed consent was obtained from all participants.</w:t>
      </w:r>
    </w:p>
    <w:p>
      <w:pPr>
        <w:pStyle w:val="style0"/>
        <w:spacing w:after="0" w:lineRule="auto" w:line="360"/>
        <w:jc w:val="both"/>
        <w:rPr>
          <w:rFonts w:ascii="Times New Roman" w:cs="Times New Roman" w:hAnsi="Times New Roman"/>
          <w:szCs w:val="24"/>
        </w:rPr>
      </w:pPr>
    </w:p>
    <w:p>
      <w:pPr>
        <w:pStyle w:val="style0"/>
        <w:spacing w:after="0" w:lineRule="auto" w:line="360"/>
        <w:jc w:val="both"/>
        <w:rPr>
          <w:rFonts w:ascii="Times New Roman" w:cs="Times New Roman" w:hAnsi="Times New Roman"/>
          <w:szCs w:val="24"/>
        </w:rPr>
      </w:pPr>
      <w:r>
        <w:rPr>
          <w:rFonts w:ascii="Times New Roman" w:cs="Times New Roman" w:hAnsi="Times New Roman"/>
          <w:b/>
          <w:bCs/>
          <w:szCs w:val="24"/>
        </w:rPr>
        <w:t>Inclusion Criteria:</w:t>
      </w:r>
    </w:p>
    <w:p>
      <w:pPr>
        <w:pStyle w:val="style0"/>
        <w:numPr>
          <w:ilvl w:val="0"/>
          <w:numId w:val="7"/>
        </w:numPr>
        <w:tabs>
          <w:tab w:val="clear" w:pos="720"/>
        </w:tabs>
        <w:spacing w:after="0" w:lineRule="auto" w:line="360"/>
        <w:ind w:left="360"/>
        <w:jc w:val="both"/>
        <w:rPr>
          <w:rFonts w:ascii="Times New Roman" w:cs="Times New Roman" w:hAnsi="Times New Roman"/>
          <w:szCs w:val="24"/>
        </w:rPr>
      </w:pPr>
      <w:r>
        <w:rPr>
          <w:rFonts w:ascii="Times New Roman" w:cs="Times New Roman" w:hAnsi="Times New Roman"/>
          <w:szCs w:val="24"/>
        </w:rPr>
        <w:t>Adults aged ≥18 years with clinically confirmed plaque-type psoriasis</w:t>
      </w:r>
    </w:p>
    <w:p>
      <w:pPr>
        <w:pStyle w:val="style0"/>
        <w:numPr>
          <w:ilvl w:val="0"/>
          <w:numId w:val="7"/>
        </w:numPr>
        <w:tabs>
          <w:tab w:val="clear" w:pos="720"/>
        </w:tabs>
        <w:spacing w:after="0" w:lineRule="auto" w:line="360"/>
        <w:ind w:left="360"/>
        <w:jc w:val="both"/>
        <w:rPr>
          <w:rFonts w:ascii="Times New Roman" w:cs="Times New Roman" w:hAnsi="Times New Roman"/>
          <w:szCs w:val="24"/>
        </w:rPr>
      </w:pPr>
      <w:r>
        <w:rPr>
          <w:rFonts w:ascii="Times New Roman" w:cs="Times New Roman" w:hAnsi="Times New Roman"/>
          <w:szCs w:val="24"/>
        </w:rPr>
        <w:t>No systemic treatment or phototherapy for at least 4 weeks prior to enrollment</w:t>
      </w:r>
    </w:p>
    <w:p>
      <w:pPr>
        <w:pStyle w:val="style0"/>
        <w:spacing w:after="0" w:lineRule="auto" w:line="360"/>
        <w:ind w:left="360"/>
        <w:jc w:val="both"/>
        <w:rPr>
          <w:rFonts w:ascii="Times New Roman" w:cs="Times New Roman" w:hAnsi="Times New Roman"/>
          <w:szCs w:val="24"/>
        </w:rPr>
      </w:pPr>
    </w:p>
    <w:p>
      <w:pPr>
        <w:pStyle w:val="style0"/>
        <w:spacing w:after="0" w:lineRule="auto" w:line="360"/>
        <w:jc w:val="both"/>
        <w:rPr>
          <w:rFonts w:ascii="Times New Roman" w:cs="Times New Roman" w:hAnsi="Times New Roman"/>
          <w:szCs w:val="24"/>
        </w:rPr>
      </w:pPr>
      <w:r>
        <w:rPr>
          <w:rFonts w:ascii="Times New Roman" w:cs="Times New Roman" w:hAnsi="Times New Roman"/>
          <w:b/>
          <w:bCs/>
          <w:szCs w:val="24"/>
        </w:rPr>
        <w:t>Exclusion Criteria:</w:t>
      </w:r>
    </w:p>
    <w:p>
      <w:pPr>
        <w:pStyle w:val="style0"/>
        <w:numPr>
          <w:ilvl w:val="0"/>
          <w:numId w:val="11"/>
        </w:numPr>
        <w:tabs>
          <w:tab w:val="clear" w:pos="720"/>
        </w:tabs>
        <w:spacing w:after="0" w:lineRule="auto" w:line="360"/>
        <w:ind w:left="360"/>
        <w:jc w:val="both"/>
        <w:rPr>
          <w:rFonts w:ascii="Times New Roman" w:cs="Times New Roman" w:hAnsi="Times New Roman"/>
          <w:szCs w:val="24"/>
        </w:rPr>
      </w:pPr>
      <w:r>
        <w:rPr>
          <w:rFonts w:ascii="Times New Roman" w:cs="Times New Roman" w:hAnsi="Times New Roman"/>
          <w:szCs w:val="24"/>
        </w:rPr>
        <w:t>Pregnancy or lactation</w:t>
      </w:r>
    </w:p>
    <w:p>
      <w:pPr>
        <w:pStyle w:val="style0"/>
        <w:numPr>
          <w:ilvl w:val="0"/>
          <w:numId w:val="11"/>
        </w:numPr>
        <w:tabs>
          <w:tab w:val="clear" w:pos="720"/>
        </w:tabs>
        <w:spacing w:after="0" w:lineRule="auto" w:line="360"/>
        <w:ind w:left="360"/>
        <w:jc w:val="both"/>
        <w:rPr>
          <w:rFonts w:ascii="Times New Roman" w:cs="Times New Roman" w:hAnsi="Times New Roman"/>
          <w:szCs w:val="24"/>
        </w:rPr>
      </w:pPr>
      <w:r>
        <w:rPr>
          <w:rFonts w:ascii="Times New Roman" w:cs="Times New Roman" w:hAnsi="Times New Roman"/>
          <w:szCs w:val="24"/>
        </w:rPr>
        <w:t>Other autoimmune, metabolic, or infectious skin conditions</w:t>
      </w:r>
    </w:p>
    <w:p>
      <w:pPr>
        <w:pStyle w:val="style0"/>
        <w:numPr>
          <w:ilvl w:val="0"/>
          <w:numId w:val="11"/>
        </w:numPr>
        <w:tabs>
          <w:tab w:val="clear" w:pos="720"/>
        </w:tabs>
        <w:spacing w:after="0" w:lineRule="auto" w:line="360"/>
        <w:ind w:left="360"/>
        <w:jc w:val="both"/>
        <w:rPr>
          <w:rFonts w:ascii="Times New Roman" w:cs="Times New Roman" w:hAnsi="Times New Roman"/>
          <w:szCs w:val="24"/>
        </w:rPr>
      </w:pPr>
      <w:r>
        <w:rPr>
          <w:rFonts w:ascii="Times New Roman" w:cs="Times New Roman" w:hAnsi="Times New Roman"/>
          <w:szCs w:val="24"/>
        </w:rPr>
        <w:t>History of malignancy or immunosuppressive therapy</w:t>
      </w:r>
    </w:p>
    <w:p>
      <w:pPr>
        <w:pStyle w:val="style0"/>
        <w:spacing w:after="0" w:lineRule="auto" w:line="360"/>
        <w:ind w:left="360"/>
        <w:jc w:val="both"/>
        <w:rPr>
          <w:rFonts w:ascii="Times New Roman" w:cs="Times New Roman" w:hAnsi="Times New Roman"/>
          <w:szCs w:val="24"/>
        </w:rPr>
      </w:pPr>
    </w:p>
    <w:p>
      <w:pPr>
        <w:pStyle w:val="style0"/>
        <w:spacing w:after="0" w:lineRule="auto" w:line="360"/>
        <w:jc w:val="both"/>
        <w:rPr>
          <w:rFonts w:ascii="Times New Roman" w:cs="Times New Roman" w:hAnsi="Times New Roman"/>
          <w:szCs w:val="24"/>
        </w:rPr>
      </w:pPr>
      <w:r>
        <w:rPr>
          <w:rFonts w:ascii="Times New Roman" w:cs="Times New Roman" w:hAnsi="Times New Roman"/>
          <w:b/>
          <w:bCs/>
          <w:szCs w:val="24"/>
        </w:rPr>
        <w:t>Methods</w:t>
      </w:r>
      <w:r>
        <w:rPr>
          <w:rFonts w:ascii="Times New Roman" w:cs="Times New Roman" w:hAnsi="Times New Roman"/>
          <w:b/>
          <w:bCs/>
          <w:szCs w:val="24"/>
        </w:rPr>
        <w:t xml:space="preserve">: </w:t>
      </w:r>
      <w:r>
        <w:rPr>
          <w:rFonts w:ascii="Times New Roman" w:cs="Times New Roman" w:hAnsi="Times New Roman"/>
          <w:szCs w:val="24"/>
        </w:rPr>
        <w:t>Patients underwent 20 sessions of narrow-band ultraviolet B (NB-UVB) phototherapy, three times per week, using a fixed incremental dose protocol.</w:t>
      </w:r>
    </w:p>
    <w:p>
      <w:pPr>
        <w:pStyle w:val="style0"/>
        <w:spacing w:after="0" w:lineRule="auto" w:line="360"/>
        <w:jc w:val="both"/>
        <w:rPr>
          <w:rFonts w:ascii="Times New Roman" w:cs="Times New Roman" w:hAnsi="Times New Roman"/>
          <w:szCs w:val="24"/>
        </w:rPr>
      </w:pPr>
    </w:p>
    <w:p>
      <w:pPr>
        <w:pStyle w:val="style0"/>
        <w:spacing w:after="0" w:lineRule="auto" w:line="360"/>
        <w:jc w:val="both"/>
        <w:rPr>
          <w:rFonts w:ascii="Times New Roman" w:cs="Times New Roman" w:hAnsi="Times New Roman"/>
          <w:szCs w:val="24"/>
        </w:rPr>
      </w:pPr>
      <w:r>
        <w:rPr>
          <w:rFonts w:ascii="Times New Roman" w:cs="Times New Roman" w:hAnsi="Times New Roman"/>
          <w:b/>
          <w:bCs/>
          <w:szCs w:val="24"/>
        </w:rPr>
        <w:t>Assessment Tools</w:t>
      </w:r>
    </w:p>
    <w:p>
      <w:pPr>
        <w:pStyle w:val="style0"/>
        <w:numPr>
          <w:ilvl w:val="0"/>
          <w:numId w:val="12"/>
        </w:numPr>
        <w:tabs>
          <w:tab w:val="clear" w:pos="720"/>
        </w:tabs>
        <w:spacing w:after="0" w:lineRule="auto" w:line="360"/>
        <w:ind w:left="360"/>
        <w:jc w:val="both"/>
        <w:rPr>
          <w:rFonts w:ascii="Times New Roman" w:cs="Times New Roman" w:hAnsi="Times New Roman"/>
          <w:szCs w:val="24"/>
        </w:rPr>
      </w:pPr>
      <w:r>
        <w:rPr>
          <w:rFonts w:ascii="Times New Roman" w:cs="Times New Roman" w:hAnsi="Times New Roman"/>
          <w:szCs w:val="24"/>
        </w:rPr>
        <w:t>Clinical severity was measured using the Psoriasis Area and Severity Index (PASI</w:t>
      </w:r>
      <w:r>
        <w:rPr>
          <w:rFonts w:ascii="Times New Roman" w:cs="Times New Roman" w:hAnsi="Times New Roman"/>
          <w:szCs w:val="24"/>
        </w:rPr>
        <w:t>)</w:t>
      </w:r>
      <w:r>
        <w:rPr>
          <w:rFonts w:ascii="Times New Roman" w:cs="Times New Roman" w:hAnsi="Times New Roman"/>
          <w:szCs w:val="24"/>
          <w:vertAlign w:val="superscript"/>
        </w:rPr>
        <w:t xml:space="preserve">(10) </w:t>
      </w:r>
      <w:r>
        <w:rPr>
          <w:rFonts w:ascii="Times New Roman" w:cs="Times New Roman" w:hAnsi="Times New Roman"/>
          <w:szCs w:val="24"/>
        </w:rPr>
        <w:t>before and after treatment.</w:t>
      </w:r>
    </w:p>
    <w:p>
      <w:pPr>
        <w:pStyle w:val="style0"/>
        <w:numPr>
          <w:ilvl w:val="0"/>
          <w:numId w:val="12"/>
        </w:numPr>
        <w:tabs>
          <w:tab w:val="clear" w:pos="720"/>
        </w:tabs>
        <w:spacing w:after="0" w:lineRule="auto" w:line="360"/>
        <w:ind w:left="360"/>
        <w:jc w:val="both"/>
        <w:rPr>
          <w:rFonts w:ascii="Times New Roman" w:cs="Times New Roman" w:hAnsi="Times New Roman"/>
          <w:b/>
          <w:bCs/>
          <w:szCs w:val="24"/>
        </w:rPr>
      </w:pPr>
      <w:r>
        <w:rPr>
          <w:rFonts w:ascii="Times New Roman" w:cs="Times New Roman" w:hAnsi="Times New Roman"/>
          <w:szCs w:val="24"/>
        </w:rPr>
        <w:t xml:space="preserve">Skin biopsies were collected from lesional skin before and after phototherapy, and from </w:t>
      </w:r>
      <w:r>
        <w:rPr>
          <w:rFonts w:ascii="Times New Roman" w:cs="Times New Roman" w:hAnsi="Times New Roman"/>
          <w:szCs w:val="24"/>
        </w:rPr>
        <w:t>healthy</w:t>
      </w:r>
      <w:r>
        <w:rPr>
          <w:rFonts w:ascii="Times New Roman" w:cs="Times New Roman" w:hAnsi="Times New Roman"/>
          <w:szCs w:val="24"/>
        </w:rPr>
        <w:t xml:space="preserve"> controls.</w:t>
      </w:r>
    </w:p>
    <w:p>
      <w:pPr>
        <w:pStyle w:val="style0"/>
        <w:spacing w:after="0" w:lineRule="auto" w:line="360"/>
        <w:ind w:left="360"/>
        <w:jc w:val="both"/>
        <w:rPr>
          <w:rFonts w:ascii="Times New Roman" w:cs="Times New Roman" w:hAnsi="Times New Roman"/>
          <w:b/>
          <w:bCs/>
          <w:szCs w:val="24"/>
        </w:rPr>
      </w:pPr>
    </w:p>
    <w:p>
      <w:pPr>
        <w:pStyle w:val="style0"/>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Histological Analysis</w:t>
      </w:r>
      <w:r>
        <w:rPr>
          <w:rFonts w:ascii="Times New Roman" w:cs="Times New Roman" w:hAnsi="Times New Roman"/>
          <w:b/>
          <w:bCs/>
          <w:szCs w:val="24"/>
        </w:rPr>
        <w:t xml:space="preserve">: </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b/>
          <w:bCs/>
          <w:szCs w:val="24"/>
        </w:rPr>
        <w:t xml:space="preserve">    </w:t>
      </w:r>
      <w:r>
        <w:rPr>
          <w:rFonts w:ascii="Times New Roman" w:cs="Times New Roman" w:hAnsi="Times New Roman"/>
          <w:szCs w:val="24"/>
        </w:rPr>
        <w:t>Biopsies were subjected to immunohistochemical staining to assess the expression of IL-17A and SREBP2. Scoring was performed semi-quantitatively on a scale of 0–4 by two blinded dermatopathologists.</w:t>
      </w:r>
    </w:p>
    <w:p>
      <w:pPr>
        <w:pStyle w:val="style0"/>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Statistical</w:t>
      </w:r>
      <w:r>
        <w:rPr>
          <w:rFonts w:ascii="Times New Roman" w:cs="Times New Roman" w:hAnsi="Times New Roman"/>
          <w:b/>
          <w:bCs/>
          <w:szCs w:val="24"/>
        </w:rPr>
        <w:t xml:space="preserve"> </w:t>
      </w:r>
      <w:r>
        <w:rPr>
          <w:rFonts w:ascii="Times New Roman" w:cs="Times New Roman" w:hAnsi="Times New Roman"/>
          <w:b/>
          <w:bCs/>
          <w:szCs w:val="24"/>
        </w:rPr>
        <w:t>Analysis</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 xml:space="preserve">Data were analyzed using SPSS version 25. Parametric and non-parametric tests were used as appropriate. Correlation and regression analyses were conducted to identify </w:t>
      </w:r>
      <w:r>
        <w:rPr>
          <w:rFonts w:ascii="Times New Roman" w:cs="Times New Roman" w:hAnsi="Times New Roman"/>
          <w:szCs w:val="24"/>
        </w:rPr>
        <w:t xml:space="preserve">predictors of treatment response. A </w:t>
      </w:r>
      <w:bookmarkStart w:id="1" w:name="_Hlk210287775"/>
      <w:r>
        <w:rPr>
          <w:rFonts w:ascii="Times New Roman" w:cs="Times New Roman" w:hAnsi="Times New Roman"/>
          <w:i/>
          <w:iCs/>
          <w:szCs w:val="24"/>
        </w:rPr>
        <w:t>p</w:t>
      </w:r>
      <w:bookmarkEnd w:id="1"/>
      <w:r>
        <w:rPr>
          <w:rFonts w:ascii="Times New Roman" w:cs="Times New Roman" w:hAnsi="Times New Roman"/>
          <w:szCs w:val="24"/>
        </w:rPr>
        <w:t>-value &lt;</w:t>
      </w:r>
      <w:r>
        <w:rPr>
          <w:rFonts w:ascii="Times New Roman" w:cs="Times New Roman" w:hAnsi="Times New Roman"/>
          <w:szCs w:val="24"/>
        </w:rPr>
        <w:t xml:space="preserve"> </w:t>
      </w:r>
      <w:r>
        <w:rPr>
          <w:rFonts w:ascii="Times New Roman" w:cs="Times New Roman" w:hAnsi="Times New Roman"/>
          <w:szCs w:val="24"/>
        </w:rPr>
        <w:t>0.05 was considered statistically significant.</w:t>
      </w:r>
    </w:p>
    <w:p>
      <w:pPr>
        <w:pStyle w:val="style0"/>
        <w:tabs>
          <w:tab w:val="left" w:leader="none" w:pos="5370"/>
        </w:tabs>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 xml:space="preserve">Results </w:t>
      </w:r>
    </w:p>
    <w:p>
      <w:pPr>
        <w:pStyle w:val="style0"/>
        <w:tabs>
          <w:tab w:val="left" w:leader="none" w:pos="5370"/>
        </w:tabs>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 xml:space="preserve">Clinical improvement and PASI score </w:t>
      </w:r>
    </w:p>
    <w:p>
      <w:pPr>
        <w:pStyle w:val="style0"/>
        <w:tabs>
          <w:tab w:val="left" w:leader="none" w:pos="5370"/>
        </w:tabs>
        <w:spacing w:before="120" w:after="240" w:lineRule="auto" w:line="360"/>
        <w:jc w:val="both"/>
        <w:rPr>
          <w:rFonts w:ascii="Times New Roman" w:cs="Times New Roman" w:hAnsi="Times New Roman"/>
          <w:b/>
          <w:bCs/>
          <w:i/>
          <w:iCs/>
          <w:szCs w:val="24"/>
        </w:rPr>
      </w:pPr>
      <w:r>
        <w:rPr>
          <w:rFonts w:ascii="Times New Roman" w:cs="Times New Roman" w:hAnsi="Times New Roman"/>
          <w:szCs w:val="24"/>
        </w:rPr>
        <w:t xml:space="preserve">       </w:t>
      </w:r>
      <w:r>
        <w:rPr>
          <w:rFonts w:ascii="Times New Roman" w:cs="Times New Roman" w:hAnsi="Times New Roman"/>
          <w:szCs w:val="24"/>
        </w:rPr>
        <w:t xml:space="preserve">There was a decrease in the PASI score </w:t>
      </w:r>
      <w:r>
        <w:rPr>
          <w:rFonts w:ascii="Times New Roman" w:cs="Times New Roman" w:hAnsi="Times New Roman"/>
          <w:szCs w:val="24"/>
        </w:rPr>
        <w:t>following  NB</w:t>
      </w:r>
      <w:r>
        <w:rPr>
          <w:rFonts w:ascii="Times New Roman" w:cs="Times New Roman" w:hAnsi="Times New Roman"/>
          <w:szCs w:val="24"/>
        </w:rPr>
        <w:t xml:space="preserve"> UVB phototherapy, with the mean score declining from 27.36 to 14.18 (</w:t>
      </w:r>
      <w:r>
        <w:rPr>
          <w:rFonts w:ascii="Times New Roman" w:cs="Times New Roman" w:hAnsi="Times New Roman"/>
          <w:i/>
          <w:iCs/>
          <w:szCs w:val="24"/>
        </w:rPr>
        <w:t>p</w:t>
      </w:r>
      <w:r>
        <w:rPr>
          <w:rFonts w:ascii="Times New Roman" w:cs="Times New Roman" w:hAnsi="Times New Roman"/>
          <w:szCs w:val="24"/>
        </w:rPr>
        <w:t xml:space="preserve"> </w:t>
      </w:r>
      <w:r>
        <w:rPr>
          <w:rFonts w:ascii="Times New Roman" w:cs="Times New Roman" w:hAnsi="Times New Roman"/>
          <w:szCs w:val="24"/>
        </w:rPr>
        <w:t>&lt; 0.001). Furthermore, the grade distribution exhibits a significant change, with 65% of patients categorized as having severe psoriasis post-therapy, as contrast to 95% prior to treatment. The notable alteration in grades (</w:t>
      </w:r>
      <w:r>
        <w:rPr>
          <w:rFonts w:ascii="Times New Roman" w:cs="Times New Roman" w:hAnsi="Times New Roman"/>
          <w:i/>
          <w:iCs/>
          <w:szCs w:val="24"/>
        </w:rPr>
        <w:t>p</w:t>
      </w:r>
      <w:r>
        <w:rPr>
          <w:rFonts w:ascii="Times New Roman" w:cs="Times New Roman" w:hAnsi="Times New Roman"/>
          <w:szCs w:val="24"/>
        </w:rPr>
        <w:t xml:space="preserve"> = 0.012) further indicates the effectiveness of NB UVB therapy</w:t>
      </w:r>
      <w:r>
        <w:rPr>
          <w:rFonts w:ascii="Times New Roman" w:cs="Times New Roman" w:hAnsi="Times New Roman"/>
          <w:szCs w:val="24"/>
        </w:rPr>
        <w:t xml:space="preserve"> </w:t>
      </w:r>
      <w:r>
        <w:rPr>
          <w:rFonts w:ascii="Times New Roman" w:cs="Times New Roman" w:hAnsi="Times New Roman"/>
          <w:b/>
          <w:bCs/>
          <w:szCs w:val="24"/>
        </w:rPr>
        <w:t xml:space="preserve">(Table </w:t>
      </w:r>
      <w:r>
        <w:rPr>
          <w:rFonts w:ascii="Times New Roman" w:cs="Times New Roman" w:hAnsi="Times New Roman"/>
          <w:b/>
          <w:bCs/>
          <w:szCs w:val="24"/>
        </w:rPr>
        <w:t>1)</w:t>
      </w:r>
      <w:r>
        <w:rPr>
          <w:rFonts w:ascii="Times New Roman" w:cs="Times New Roman" w:hAnsi="Times New Roman"/>
          <w:b/>
          <w:bCs/>
          <w:szCs w:val="24"/>
        </w:rPr>
        <w:t>.</w:t>
      </w:r>
    </w:p>
    <w:p>
      <w:pPr>
        <w:pStyle w:val="style0"/>
        <w:autoSpaceDE w:val="false"/>
        <w:autoSpaceDN w:val="false"/>
        <w:adjustRightInd w:val="false"/>
        <w:spacing w:before="120" w:after="240" w:lineRule="auto" w:line="360"/>
        <w:jc w:val="both"/>
        <w:rPr>
          <w:rFonts w:ascii="Times New Roman" w:cs="Times New Roman" w:hAnsi="Times New Roman"/>
          <w:szCs w:val="24"/>
        </w:rPr>
      </w:pPr>
      <w:r>
        <w:rPr>
          <w:rFonts w:ascii="Times New Roman" w:cs="Times New Roman" w:hAnsi="Times New Roman"/>
          <w:szCs w:val="24"/>
        </w:rPr>
        <w:t xml:space="preserve">         </w:t>
      </w:r>
      <w:r>
        <w:rPr>
          <w:rFonts w:ascii="Times New Roman" w:cs="Times New Roman" w:hAnsi="Times New Roman"/>
          <w:szCs w:val="24"/>
        </w:rPr>
        <w:t xml:space="preserve">A Linear regression analysis was conducted for prediction of PASI score after treatment. Only IL-17 expression before treatment was associated with risk of higher PASI score after treatment. </w:t>
      </w:r>
      <w:r>
        <w:rPr>
          <w:rFonts w:ascii="Times New Roman" w:cs="Times New Roman" w:hAnsi="Times New Roman"/>
          <w:szCs w:val="24"/>
        </w:rPr>
        <w:t>While,</w:t>
      </w:r>
      <w:r>
        <w:rPr>
          <w:rFonts w:ascii="Times New Roman" w:cs="Times New Roman" w:hAnsi="Times New Roman"/>
          <w:szCs w:val="24"/>
        </w:rPr>
        <w:t xml:space="preserve"> other covariates as age, sex, BMI,</w:t>
      </w:r>
      <w:r>
        <w:rPr>
          <w:rFonts w:ascii="Times New Roman" w:cs="Times New Roman" w:hAnsi="Times New Roman"/>
          <w:szCs w:val="24"/>
        </w:rPr>
        <w:t xml:space="preserve"> b</w:t>
      </w:r>
      <w:r>
        <w:rPr>
          <w:rFonts w:ascii="Times New Roman" w:cs="Times New Roman" w:hAnsi="Times New Roman"/>
          <w:szCs w:val="24"/>
        </w:rPr>
        <w:t xml:space="preserve">lood </w:t>
      </w:r>
      <w:r>
        <w:rPr>
          <w:rFonts w:ascii="Times New Roman" w:cs="Times New Roman" w:hAnsi="Times New Roman"/>
          <w:szCs w:val="24"/>
        </w:rPr>
        <w:t>pressure</w:t>
      </w:r>
      <w:r>
        <w:rPr>
          <w:rFonts w:ascii="Times New Roman" w:cs="Times New Roman" w:hAnsi="Times New Roman"/>
          <w:szCs w:val="24"/>
        </w:rPr>
        <w:t xml:space="preserve"> ,</w:t>
      </w:r>
      <w:r>
        <w:rPr>
          <w:rFonts w:ascii="Times New Roman" w:cs="Times New Roman" w:hAnsi="Times New Roman"/>
          <w:szCs w:val="24"/>
        </w:rPr>
        <w:t xml:space="preserve"> disease features, lipid profile, SREBP 2 expression before treatment were not associated with prediction of PASI score after treatment </w:t>
      </w:r>
      <w:r>
        <w:rPr>
          <w:rFonts w:ascii="Times New Roman" w:cs="Times New Roman" w:hAnsi="Times New Roman"/>
          <w:b/>
          <w:bCs/>
          <w:szCs w:val="24"/>
        </w:rPr>
        <w:t>(Table 4).</w:t>
      </w:r>
      <w:r>
        <w:rPr>
          <w:rFonts w:ascii="Times New Roman" w:cs="Times New Roman" w:hAnsi="Times New Roman"/>
          <w:szCs w:val="24"/>
        </w:rPr>
        <w:t xml:space="preserve"> </w:t>
      </w:r>
    </w:p>
    <w:p>
      <w:pPr>
        <w:pStyle w:val="style0"/>
        <w:autoSpaceDE w:val="false"/>
        <w:autoSpaceDN w:val="false"/>
        <w:adjustRightInd w:val="false"/>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 xml:space="preserve">Expression of IL-17A </w:t>
      </w:r>
    </w:p>
    <w:p>
      <w:pPr>
        <w:pStyle w:val="style0"/>
        <w:autoSpaceDE w:val="false"/>
        <w:autoSpaceDN w:val="false"/>
        <w:adjustRightInd w:val="false"/>
        <w:spacing w:before="120" w:after="240" w:lineRule="auto" w:line="360"/>
        <w:jc w:val="both"/>
        <w:rPr>
          <w:rFonts w:ascii="Times New Roman" w:cs="Times New Roman" w:hAnsi="Times New Roman"/>
          <w:szCs w:val="24"/>
        </w:rPr>
      </w:pPr>
      <w:r>
        <w:rPr>
          <w:rFonts w:ascii="Times New Roman" w:cs="Times New Roman" w:hAnsi="Times New Roman"/>
          <w:szCs w:val="24"/>
        </w:rPr>
        <w:t xml:space="preserve">          </w:t>
      </w:r>
      <w:r>
        <w:rPr>
          <w:rFonts w:ascii="Times New Roman" w:cs="Times New Roman" w:hAnsi="Times New Roman"/>
          <w:szCs w:val="24"/>
        </w:rPr>
        <w:t xml:space="preserve">IL-17A expression scores exhibited a significant difference between the control </w:t>
      </w:r>
      <w:r>
        <w:rPr>
          <w:rFonts w:ascii="Times New Roman" w:cs="Times New Roman" w:hAnsi="Times New Roman"/>
          <w:szCs w:val="24"/>
        </w:rPr>
        <w:t xml:space="preserve">subjects </w:t>
      </w:r>
      <w:r>
        <w:rPr>
          <w:rFonts w:ascii="Times New Roman" w:cs="Times New Roman" w:hAnsi="Times New Roman"/>
          <w:szCs w:val="24"/>
        </w:rPr>
        <w:t xml:space="preserve">and psoriasis </w:t>
      </w:r>
      <w:r>
        <w:rPr>
          <w:rFonts w:ascii="Times New Roman" w:cs="Times New Roman" w:hAnsi="Times New Roman"/>
          <w:szCs w:val="24"/>
        </w:rPr>
        <w:t>patients before NB-UVB therapy</w:t>
      </w:r>
      <w:r>
        <w:rPr>
          <w:rFonts w:ascii="Times New Roman" w:cs="Times New Roman" w:hAnsi="Times New Roman"/>
          <w:szCs w:val="24"/>
        </w:rPr>
        <w:t>, with all control subjects recording a score of 0, whereas the psoriasis group had a mean value of 2.6, and median of 3 (</w:t>
      </w:r>
      <w:r>
        <w:rPr>
          <w:rFonts w:ascii="Times New Roman" w:cs="Times New Roman" w:hAnsi="Times New Roman"/>
          <w:i/>
          <w:iCs/>
          <w:szCs w:val="24"/>
        </w:rPr>
        <w:t>p</w:t>
      </w:r>
      <w:r>
        <w:rPr>
          <w:rFonts w:ascii="Times New Roman" w:cs="Times New Roman" w:hAnsi="Times New Roman"/>
          <w:szCs w:val="24"/>
        </w:rPr>
        <w:t xml:space="preserve"> &lt; 0.001). More than half of psoriasis patients have score 3 and 4</w:t>
      </w:r>
      <w:r>
        <w:rPr>
          <w:rFonts w:ascii="Times New Roman" w:cs="Times New Roman" w:hAnsi="Times New Roman"/>
          <w:szCs w:val="24"/>
        </w:rPr>
        <w:t xml:space="preserve">. </w:t>
      </w:r>
    </w:p>
    <w:p>
      <w:pPr>
        <w:pStyle w:val="style0"/>
        <w:autoSpaceDE w:val="false"/>
        <w:autoSpaceDN w:val="false"/>
        <w:adjustRightInd w:val="false"/>
        <w:spacing w:before="120" w:after="240" w:lineRule="auto" w:line="360"/>
        <w:jc w:val="both"/>
        <w:rPr>
          <w:rFonts w:ascii="Times New Roman" w:cs="Times New Roman" w:hAnsi="Times New Roman"/>
          <w:szCs w:val="24"/>
        </w:rPr>
      </w:pPr>
      <w:r>
        <w:rPr>
          <w:rFonts w:ascii="Times New Roman" w:cs="Times New Roman" w:hAnsi="Times New Roman"/>
          <w:szCs w:val="24"/>
        </w:rPr>
        <w:t xml:space="preserve">          </w:t>
      </w:r>
      <w:r>
        <w:rPr>
          <w:rFonts w:ascii="Times New Roman" w:cs="Times New Roman" w:hAnsi="Times New Roman"/>
          <w:szCs w:val="24"/>
        </w:rPr>
        <w:t>Following NB UVB phototherapy, the IL-17A expression score in the psoriasis cohort dramatically diminished, with a mean score of 1.75 compared to 2.6 prior to treatment (</w:t>
      </w:r>
      <w:r>
        <w:rPr>
          <w:rFonts w:ascii="Times New Roman" w:cs="Times New Roman" w:hAnsi="Times New Roman"/>
          <w:i/>
          <w:iCs/>
          <w:szCs w:val="24"/>
        </w:rPr>
        <w:t>p</w:t>
      </w:r>
      <w:r>
        <w:rPr>
          <w:rFonts w:ascii="Times New Roman" w:cs="Times New Roman" w:hAnsi="Times New Roman"/>
          <w:szCs w:val="24"/>
        </w:rPr>
        <w:t xml:space="preserve"> = 0.003)., and the median also decreased from 3 to 1. The statistical test reveals a significant alteration in the distribution of IL-17A scores, characterized by an increase in individuals exhibiting lower expression levels following treatment, as before treatment, more than half of patients exhibited 3 and 4 scores, while after treatment, more than half of patients exhibit 0 and 1 scores (</w:t>
      </w:r>
      <w:r>
        <w:rPr>
          <w:rFonts w:ascii="Times New Roman" w:cs="Times New Roman" w:hAnsi="Times New Roman"/>
          <w:i/>
          <w:iCs/>
          <w:szCs w:val="24"/>
        </w:rPr>
        <w:t>p</w:t>
      </w:r>
      <w:r>
        <w:rPr>
          <w:rFonts w:ascii="Times New Roman" w:cs="Times New Roman" w:hAnsi="Times New Roman"/>
          <w:szCs w:val="24"/>
        </w:rPr>
        <w:t xml:space="preserve"> </w:t>
      </w:r>
      <w:r>
        <w:rPr>
          <w:rFonts w:ascii="Times New Roman" w:cs="Times New Roman" w:hAnsi="Times New Roman"/>
          <w:szCs w:val="24"/>
        </w:rPr>
        <w:t>=0.</w:t>
      </w:r>
      <w:r>
        <w:rPr>
          <w:rFonts w:ascii="Times New Roman" w:cs="Times New Roman" w:hAnsi="Times New Roman"/>
          <w:szCs w:val="24"/>
        </w:rPr>
        <w:t>002)(</w:t>
      </w:r>
      <w:r>
        <w:rPr>
          <w:rFonts w:ascii="Times New Roman" w:cs="Times New Roman" w:hAnsi="Times New Roman"/>
          <w:b/>
          <w:bCs/>
          <w:szCs w:val="24"/>
        </w:rPr>
        <w:t xml:space="preserve"> Table </w:t>
      </w:r>
      <w:r>
        <w:rPr>
          <w:rFonts w:ascii="Times New Roman" w:cs="Times New Roman" w:hAnsi="Times New Roman"/>
          <w:b/>
          <w:bCs/>
          <w:i/>
          <w:iCs/>
          <w:szCs w:val="24"/>
        </w:rPr>
        <w:t>3).</w:t>
      </w:r>
    </w:p>
    <w:p>
      <w:pPr>
        <w:pStyle w:val="style0"/>
        <w:autoSpaceDE w:val="false"/>
        <w:autoSpaceDN w:val="false"/>
        <w:adjustRightInd w:val="false"/>
        <w:spacing w:before="120" w:after="240" w:lineRule="auto" w:line="360"/>
        <w:jc w:val="both"/>
        <w:rPr>
          <w:rFonts w:ascii="Times New Roman" w:cs="Times New Roman" w:hAnsi="Times New Roman"/>
          <w:b/>
          <w:bCs/>
          <w:szCs w:val="24"/>
        </w:rPr>
      </w:pPr>
    </w:p>
    <w:p>
      <w:pPr>
        <w:pStyle w:val="style0"/>
        <w:autoSpaceDE w:val="false"/>
        <w:autoSpaceDN w:val="false"/>
        <w:adjustRightInd w:val="false"/>
        <w:spacing w:before="120" w:after="240" w:lineRule="auto" w:line="360"/>
        <w:jc w:val="both"/>
        <w:rPr>
          <w:rFonts w:ascii="Times New Roman" w:cs="Times New Roman" w:hAnsi="Times New Roman"/>
          <w:b/>
          <w:bCs/>
          <w:szCs w:val="24"/>
        </w:rPr>
      </w:pPr>
    </w:p>
    <w:p>
      <w:pPr>
        <w:pStyle w:val="style0"/>
        <w:autoSpaceDE w:val="false"/>
        <w:autoSpaceDN w:val="false"/>
        <w:adjustRightInd w:val="false"/>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 xml:space="preserve">Expression </w:t>
      </w:r>
      <w:r>
        <w:rPr>
          <w:rFonts w:ascii="Times New Roman" w:cs="Times New Roman" w:hAnsi="Times New Roman"/>
          <w:b/>
          <w:bCs/>
          <w:szCs w:val="24"/>
        </w:rPr>
        <w:t>of  SREBP</w:t>
      </w:r>
      <w:r>
        <w:rPr>
          <w:rFonts w:ascii="Times New Roman" w:cs="Times New Roman" w:hAnsi="Times New Roman"/>
          <w:b/>
          <w:bCs/>
          <w:szCs w:val="24"/>
        </w:rPr>
        <w:t xml:space="preserve"> 2</w:t>
      </w:r>
    </w:p>
    <w:p>
      <w:pPr>
        <w:pStyle w:val="style0"/>
        <w:tabs>
          <w:tab w:val="left" w:leader="none" w:pos="5370"/>
        </w:tabs>
        <w:spacing w:before="120" w:after="240" w:lineRule="auto" w:line="360"/>
        <w:jc w:val="both"/>
        <w:rPr>
          <w:rFonts w:ascii="Times New Roman" w:cs="Times New Roman" w:hAnsi="Times New Roman"/>
          <w:szCs w:val="24"/>
        </w:rPr>
      </w:pPr>
      <w:r>
        <w:rPr>
          <w:rFonts w:ascii="Times New Roman" w:cs="Times New Roman" w:hAnsi="Times New Roman"/>
          <w:szCs w:val="24"/>
        </w:rPr>
        <w:t xml:space="preserve">          </w:t>
      </w:r>
      <w:r>
        <w:rPr>
          <w:rFonts w:ascii="Times New Roman" w:cs="Times New Roman" w:hAnsi="Times New Roman"/>
          <w:szCs w:val="24"/>
        </w:rPr>
        <w:t>A significant increase in SREBP2 expression scores was observed in the psoriasis cohort following UVB phototherapy, with the mean score increasing from 0.75 to 1.45 (</w:t>
      </w:r>
      <w:r>
        <w:rPr>
          <w:rFonts w:ascii="Times New Roman" w:cs="Times New Roman" w:hAnsi="Times New Roman"/>
          <w:i/>
          <w:iCs/>
          <w:szCs w:val="24"/>
        </w:rPr>
        <w:t>p</w:t>
      </w:r>
      <w:r>
        <w:rPr>
          <w:rFonts w:ascii="Times New Roman" w:cs="Times New Roman" w:hAnsi="Times New Roman"/>
          <w:szCs w:val="24"/>
        </w:rPr>
        <w:t xml:space="preserve"> = 0.014). Statistical analysis demonstrated a significant shift in the distribution of expression scores; whereas most patients exhibited scores of 0, 1, or 2 prior to treatment, the majority showed scores of 2, 3, or 4 after treatment (</w:t>
      </w:r>
      <w:r>
        <w:rPr>
          <w:rFonts w:ascii="Times New Roman" w:cs="Times New Roman" w:hAnsi="Times New Roman"/>
          <w:i/>
          <w:iCs/>
          <w:szCs w:val="24"/>
        </w:rPr>
        <w:t>p</w:t>
      </w:r>
      <w:r>
        <w:rPr>
          <w:rFonts w:ascii="Times New Roman" w:cs="Times New Roman" w:hAnsi="Times New Roman"/>
          <w:szCs w:val="24"/>
        </w:rPr>
        <w:t xml:space="preserve"> = 0.016)</w:t>
      </w:r>
      <w:r>
        <w:rPr>
          <w:rFonts w:ascii="Times New Roman" w:cs="Times New Roman" w:hAnsi="Times New Roman" w:hint="cs"/>
          <w:szCs w:val="24"/>
          <w:rtl/>
        </w:rPr>
        <w:t xml:space="preserve"> </w:t>
      </w:r>
      <w:r>
        <w:rPr>
          <w:rFonts w:ascii="Times New Roman" w:cs="Times New Roman" w:hAnsi="Times New Roman"/>
          <w:b/>
          <w:bCs/>
          <w:szCs w:val="24"/>
        </w:rPr>
        <w:t>(</w:t>
      </w:r>
      <w:r>
        <w:rPr>
          <w:rFonts w:ascii="Times New Roman" w:cs="Times New Roman" w:hAnsi="Times New Roman"/>
          <w:b/>
          <w:bCs/>
          <w:szCs w:val="24"/>
        </w:rPr>
        <w:t>F</w:t>
      </w:r>
      <w:r>
        <w:rPr>
          <w:rFonts w:ascii="Times New Roman" w:cs="Times New Roman" w:hAnsi="Times New Roman"/>
          <w:b/>
          <w:bCs/>
          <w:szCs w:val="24"/>
        </w:rPr>
        <w:t>igure 1).</w:t>
      </w:r>
      <w:bookmarkStart w:id="2" w:name="_Hlk201930317"/>
    </w:p>
    <w:p>
      <w:pPr>
        <w:pStyle w:val="style34"/>
        <w:spacing w:before="120" w:after="240" w:lineRule="auto" w:line="360"/>
        <w:jc w:val="both"/>
        <w:rPr>
          <w:rFonts w:ascii="Times New Roman" w:cs="Times New Roman" w:hAnsi="Times New Roman"/>
          <w:b w:val="false"/>
          <w:bCs w:val="false"/>
          <w:i/>
          <w:iCs/>
          <w:color w:val="auto"/>
          <w:sz w:val="24"/>
          <w:szCs w:val="24"/>
        </w:rPr>
      </w:pPr>
      <w:r>
        <w:rPr>
          <w:rFonts w:ascii="Times New Roman" w:cs="Times New Roman" w:hAnsi="Times New Roman"/>
          <w:color w:val="auto"/>
          <w:sz w:val="24"/>
          <w:szCs w:val="24"/>
        </w:rPr>
        <w:t xml:space="preserve">Table </w:t>
      </w:r>
      <w:bookmarkEnd w:id="2"/>
      <w:r>
        <w:rPr>
          <w:rFonts w:ascii="Times New Roman" w:cs="Times New Roman" w:hAnsi="Times New Roman"/>
          <w:color w:val="auto"/>
          <w:sz w:val="24"/>
          <w:szCs w:val="24"/>
        </w:rPr>
        <w:t xml:space="preserve">(1): PASI score and grades improvement </w:t>
      </w:r>
      <w:r>
        <w:rPr>
          <w:rFonts w:ascii="Times New Roman" w:cs="Times New Roman" w:hAnsi="Times New Roman"/>
          <w:color w:val="auto"/>
          <w:sz w:val="24"/>
          <w:szCs w:val="24"/>
        </w:rPr>
        <w:t>after  NB</w:t>
      </w:r>
      <w:r>
        <w:rPr>
          <w:rFonts w:ascii="Times New Roman" w:cs="Times New Roman" w:hAnsi="Times New Roman"/>
          <w:color w:val="auto"/>
          <w:sz w:val="24"/>
          <w:szCs w:val="24"/>
        </w:rPr>
        <w:t xml:space="preserve"> UVB </w:t>
      </w:r>
      <w:r>
        <w:rPr>
          <w:rFonts w:ascii="Times New Roman" w:cs="Times New Roman" w:hAnsi="Times New Roman"/>
          <w:color w:val="auto"/>
          <w:sz w:val="24"/>
          <w:szCs w:val="24"/>
        </w:rPr>
        <w:t>phototherapy</w:t>
      </w:r>
      <w:r>
        <w:rPr>
          <w:rFonts w:ascii="Times New Roman" w:cs="Times New Roman" w:hAnsi="Times New Roman"/>
          <w:b w:val="false"/>
          <w:bCs w:val="false"/>
          <w:color w:val="auto"/>
          <w:sz w:val="24"/>
          <w:szCs w:val="24"/>
        </w:rPr>
        <w:t>.№</w:t>
      </w:r>
      <w:r>
        <w:rPr>
          <w:rFonts w:ascii="Times New Roman" w:cs="Times New Roman" w:hAnsi="Times New Roman"/>
          <w:b w:val="false"/>
          <w:bCs w:val="false"/>
          <w:color w:val="auto"/>
          <w:sz w:val="24"/>
          <w:szCs w:val="24"/>
        </w:rPr>
        <w:t xml:space="preserve">, count; SD, standard deviation; min, minimum; max, maximum; Z`, Wilcoxon's test; MH, Marginal homogeneity test; *, </w:t>
      </w:r>
      <w:r>
        <w:rPr>
          <w:rFonts w:ascii="Times New Roman" w:cs="Times New Roman" w:hAnsi="Times New Roman"/>
          <w:b w:val="false"/>
          <w:bCs w:val="false"/>
          <w:i/>
          <w:iCs/>
          <w:color w:val="auto"/>
          <w:sz w:val="24"/>
          <w:szCs w:val="24"/>
        </w:rPr>
        <w:t>p</w:t>
      </w:r>
      <w:r>
        <w:rPr>
          <w:rFonts w:ascii="Times New Roman" w:cs="Times New Roman" w:hAnsi="Times New Roman"/>
          <w:color w:val="auto"/>
          <w:sz w:val="24"/>
          <w:szCs w:val="24"/>
        </w:rPr>
        <w:t xml:space="preserve"> </w:t>
      </w:r>
      <w:r>
        <w:rPr>
          <w:rFonts w:ascii="Times New Roman" w:cs="Times New Roman" w:hAnsi="Times New Roman"/>
          <w:b w:val="false"/>
          <w:bCs w:val="false"/>
          <w:color w:val="auto"/>
          <w:sz w:val="24"/>
          <w:szCs w:val="24"/>
        </w:rPr>
        <w:t>&lt;0.05 is considered significant.</w:t>
      </w:r>
    </w:p>
    <w:tbl>
      <w:tblPr>
        <w:tblStyle w:val="style4116"/>
        <w:tblW w:w="5000" w:type="pct"/>
        <w:jc w:val="center"/>
        <w:tblBorders>
          <w:left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894"/>
        <w:gridCol w:w="2144"/>
        <w:gridCol w:w="783"/>
        <w:gridCol w:w="1019"/>
        <w:gridCol w:w="782"/>
        <w:gridCol w:w="1019"/>
        <w:gridCol w:w="810"/>
        <w:gridCol w:w="854"/>
      </w:tblGrid>
      <w:tr>
        <w:trPr>
          <w:trHeight w:val="20" w:hRule="atLeast"/>
          <w:jc w:val="center"/>
        </w:trPr>
        <w:tc>
          <w:tcPr>
            <w:tcW w:w="1958" w:type="pct"/>
            <w:gridSpan w:val="2"/>
            <w:vMerge w:val="restart"/>
            <w:tcBorders>
              <w:top w:val="single" w:sz="4" w:space="0" w:color="auto"/>
              <w:bottom w:val="nil"/>
            </w:tcBorders>
          </w:tcPr>
          <w:p>
            <w:pPr>
              <w:pStyle w:val="style0"/>
              <w:jc w:val="both"/>
              <w:rPr>
                <w:rFonts w:ascii="Times New Roman" w:cs="Times New Roman" w:hAnsi="Times New Roman"/>
                <w:szCs w:val="24"/>
              </w:rPr>
            </w:pPr>
          </w:p>
        </w:tc>
        <w:tc>
          <w:tcPr>
            <w:tcW w:w="1017" w:type="pct"/>
            <w:gridSpan w:val="2"/>
            <w:tcBorders>
              <w:top w:val="single" w:sz="4" w:space="0" w:color="auto"/>
              <w:bottom w:val="nil"/>
            </w:tcBorders>
            <w:vAlign w:val="center"/>
          </w:tcPr>
          <w:p>
            <w:pPr>
              <w:pStyle w:val="style0"/>
              <w:jc w:val="both"/>
              <w:rPr>
                <w:rFonts w:ascii="Times New Roman" w:cs="Times New Roman" w:hAnsi="Times New Roman"/>
                <w:b/>
                <w:bCs/>
                <w:szCs w:val="24"/>
              </w:rPr>
            </w:pPr>
            <w:r>
              <w:rPr>
                <w:rFonts w:ascii="Times New Roman" w:cs="Times New Roman" w:hAnsi="Times New Roman"/>
                <w:b/>
                <w:bCs/>
                <w:kern w:val="0"/>
                <w:szCs w:val="24"/>
              </w:rPr>
              <w:t>Before UVB phototherapy</w:t>
            </w:r>
          </w:p>
        </w:tc>
        <w:tc>
          <w:tcPr>
            <w:tcW w:w="1014" w:type="pct"/>
            <w:gridSpan w:val="2"/>
            <w:tcBorders>
              <w:top w:val="single" w:sz="4" w:space="0" w:color="auto"/>
              <w:bottom w:val="nil"/>
            </w:tcBorders>
          </w:tcPr>
          <w:p>
            <w:pPr>
              <w:pStyle w:val="style0"/>
              <w:jc w:val="both"/>
              <w:rPr>
                <w:rFonts w:ascii="Times New Roman" w:cs="Times New Roman" w:hAnsi="Times New Roman"/>
                <w:b/>
                <w:bCs/>
                <w:szCs w:val="24"/>
              </w:rPr>
            </w:pPr>
            <w:r>
              <w:rPr>
                <w:rFonts w:ascii="Times New Roman" w:cs="Times New Roman" w:hAnsi="Times New Roman"/>
                <w:b/>
                <w:bCs/>
                <w:kern w:val="0"/>
                <w:szCs w:val="24"/>
              </w:rPr>
              <w:t>After UVB phototherapy</w:t>
            </w:r>
          </w:p>
        </w:tc>
        <w:tc>
          <w:tcPr>
            <w:tcW w:w="507" w:type="pct"/>
            <w:vMerge w:val="restart"/>
            <w:tcBorders>
              <w:top w:val="single" w:sz="4" w:space="0" w:color="auto"/>
              <w:bottom w:val="nil"/>
            </w:tcBorders>
            <w:vAlign w:val="center"/>
          </w:tcPr>
          <w:p>
            <w:pPr>
              <w:pStyle w:val="style0"/>
              <w:jc w:val="both"/>
              <w:rPr>
                <w:rFonts w:ascii="Times New Roman" w:cs="Times New Roman" w:hAnsi="Times New Roman"/>
                <w:b/>
                <w:bCs/>
                <w:szCs w:val="24"/>
              </w:rPr>
            </w:pPr>
            <w:r>
              <w:rPr>
                <w:rFonts w:ascii="Times New Roman" w:cs="Times New Roman" w:hAnsi="Times New Roman"/>
                <w:b/>
                <w:bCs/>
                <w:szCs w:val="24"/>
              </w:rPr>
              <w:t>Test</w:t>
            </w:r>
          </w:p>
        </w:tc>
        <w:tc>
          <w:tcPr>
            <w:tcW w:w="504" w:type="pct"/>
            <w:vMerge w:val="restart"/>
            <w:tcBorders>
              <w:top w:val="single" w:sz="4" w:space="0" w:color="auto"/>
              <w:bottom w:val="nil"/>
            </w:tcBorders>
            <w:vAlign w:val="center"/>
          </w:tcPr>
          <w:p>
            <w:pPr>
              <w:pStyle w:val="style0"/>
              <w:jc w:val="both"/>
              <w:rPr>
                <w:rFonts w:ascii="Times New Roman" w:cs="Times New Roman" w:hAnsi="Times New Roman"/>
                <w:b/>
                <w:bCs/>
                <w:szCs w:val="24"/>
              </w:rPr>
            </w:pPr>
            <w:r>
              <w:rPr>
                <w:rFonts w:ascii="Times New Roman" w:cs="Times New Roman" w:hAnsi="Times New Roman"/>
                <w:b/>
                <w:bCs/>
                <w:i/>
                <w:iCs/>
                <w:szCs w:val="24"/>
              </w:rPr>
              <w:t>P</w:t>
            </w:r>
          </w:p>
        </w:tc>
      </w:tr>
      <w:tr>
        <w:tblPrEx/>
        <w:trPr>
          <w:trHeight w:val="20" w:hRule="atLeast"/>
          <w:jc w:val="center"/>
        </w:trPr>
        <w:tc>
          <w:tcPr>
            <w:tcW w:w="1958" w:type="pct"/>
            <w:gridSpan w:val="2"/>
            <w:vMerge w:val="continue"/>
            <w:tcBorders>
              <w:top w:val="nil"/>
              <w:bottom w:val="single" w:sz="4" w:space="0" w:color="auto"/>
            </w:tcBorders>
          </w:tcPr>
          <w:p>
            <w:pPr>
              <w:pStyle w:val="style0"/>
              <w:jc w:val="both"/>
              <w:rPr>
                <w:rFonts w:ascii="Times New Roman" w:cs="Times New Roman" w:hAnsi="Times New Roman"/>
                <w:szCs w:val="24"/>
              </w:rPr>
            </w:pPr>
          </w:p>
        </w:tc>
        <w:tc>
          <w:tcPr>
            <w:tcW w:w="508" w:type="pct"/>
            <w:tcBorders>
              <w:top w:val="nil"/>
              <w:bottom w:val="single" w:sz="4" w:space="0" w:color="auto"/>
            </w:tcBorders>
            <w:vAlign w:val="center"/>
          </w:tcPr>
          <w:p>
            <w:pPr>
              <w:pStyle w:val="style0"/>
              <w:jc w:val="both"/>
              <w:rPr>
                <w:rFonts w:ascii="Times New Roman" w:cs="Times New Roman" w:hAnsi="Times New Roman"/>
                <w:b/>
                <w:bCs/>
                <w:szCs w:val="24"/>
              </w:rPr>
            </w:pPr>
            <w:r>
              <w:rPr>
                <w:rFonts w:ascii="Times New Roman" w:cs="Times New Roman" w:hAnsi="Times New Roman"/>
                <w:b/>
                <w:bCs/>
                <w:szCs w:val="24"/>
              </w:rPr>
              <w:t>№</w:t>
            </w:r>
          </w:p>
        </w:tc>
        <w:tc>
          <w:tcPr>
            <w:tcW w:w="509" w:type="pct"/>
            <w:tcBorders>
              <w:top w:val="nil"/>
              <w:bottom w:val="single" w:sz="4" w:space="0" w:color="auto"/>
            </w:tcBorders>
            <w:vAlign w:val="center"/>
          </w:tcPr>
          <w:p>
            <w:pPr>
              <w:pStyle w:val="style0"/>
              <w:jc w:val="both"/>
              <w:rPr>
                <w:rFonts w:ascii="Times New Roman" w:cs="Times New Roman" w:hAnsi="Times New Roman"/>
                <w:b/>
                <w:bCs/>
                <w:szCs w:val="24"/>
              </w:rPr>
            </w:pPr>
            <w:r>
              <w:rPr>
                <w:rFonts w:ascii="Times New Roman" w:cs="Times New Roman" w:hAnsi="Times New Roman"/>
                <w:b/>
                <w:bCs/>
                <w:szCs w:val="24"/>
              </w:rPr>
              <w:t>%</w:t>
            </w:r>
          </w:p>
        </w:tc>
        <w:tc>
          <w:tcPr>
            <w:tcW w:w="507" w:type="pct"/>
            <w:tcBorders>
              <w:top w:val="nil"/>
              <w:bottom w:val="single" w:sz="4" w:space="0" w:color="auto"/>
            </w:tcBorders>
            <w:vAlign w:val="center"/>
          </w:tcPr>
          <w:p>
            <w:pPr>
              <w:pStyle w:val="style0"/>
              <w:jc w:val="both"/>
              <w:rPr>
                <w:rFonts w:ascii="Times New Roman" w:cs="Times New Roman" w:hAnsi="Times New Roman"/>
                <w:b/>
                <w:bCs/>
                <w:szCs w:val="24"/>
              </w:rPr>
            </w:pPr>
            <w:r>
              <w:rPr>
                <w:rFonts w:ascii="Times New Roman" w:cs="Times New Roman" w:hAnsi="Times New Roman"/>
                <w:b/>
                <w:bCs/>
                <w:szCs w:val="24"/>
              </w:rPr>
              <w:t>№</w:t>
            </w:r>
          </w:p>
        </w:tc>
        <w:tc>
          <w:tcPr>
            <w:tcW w:w="507" w:type="pct"/>
            <w:tcBorders>
              <w:top w:val="nil"/>
              <w:bottom w:val="single" w:sz="4" w:space="0" w:color="auto"/>
            </w:tcBorders>
            <w:vAlign w:val="center"/>
          </w:tcPr>
          <w:p>
            <w:pPr>
              <w:pStyle w:val="style0"/>
              <w:jc w:val="both"/>
              <w:rPr>
                <w:rFonts w:ascii="Times New Roman" w:cs="Times New Roman" w:hAnsi="Times New Roman"/>
                <w:b/>
                <w:bCs/>
                <w:szCs w:val="24"/>
              </w:rPr>
            </w:pPr>
            <w:r>
              <w:rPr>
                <w:rFonts w:ascii="Times New Roman" w:cs="Times New Roman" w:hAnsi="Times New Roman"/>
                <w:b/>
                <w:bCs/>
                <w:szCs w:val="24"/>
              </w:rPr>
              <w:t>%</w:t>
            </w:r>
          </w:p>
        </w:tc>
        <w:tc>
          <w:tcPr>
            <w:tcW w:w="507" w:type="pct"/>
            <w:vMerge w:val="continue"/>
            <w:tcBorders>
              <w:top w:val="nil"/>
              <w:bottom w:val="single" w:sz="4" w:space="0" w:color="auto"/>
            </w:tcBorders>
          </w:tcPr>
          <w:p>
            <w:pPr>
              <w:pStyle w:val="style0"/>
              <w:jc w:val="both"/>
              <w:rPr>
                <w:rFonts w:ascii="Times New Roman" w:cs="Times New Roman" w:hAnsi="Times New Roman"/>
                <w:b/>
                <w:bCs/>
                <w:szCs w:val="24"/>
              </w:rPr>
            </w:pPr>
          </w:p>
        </w:tc>
        <w:tc>
          <w:tcPr>
            <w:tcW w:w="504" w:type="pct"/>
            <w:vMerge w:val="continue"/>
            <w:tcBorders>
              <w:top w:val="nil"/>
              <w:bottom w:val="single" w:sz="4" w:space="0" w:color="auto"/>
            </w:tcBorders>
          </w:tcPr>
          <w:p>
            <w:pPr>
              <w:pStyle w:val="style0"/>
              <w:jc w:val="both"/>
              <w:rPr>
                <w:rFonts w:ascii="Times New Roman" w:cs="Times New Roman" w:hAnsi="Times New Roman"/>
                <w:b/>
                <w:bCs/>
                <w:szCs w:val="24"/>
              </w:rPr>
            </w:pPr>
          </w:p>
        </w:tc>
      </w:tr>
      <w:tr>
        <w:tblPrEx/>
        <w:trPr>
          <w:trHeight w:val="20" w:hRule="atLeast"/>
          <w:jc w:val="center"/>
        </w:trPr>
        <w:tc>
          <w:tcPr>
            <w:tcW w:w="548" w:type="pct"/>
            <w:tcBorders>
              <w:top w:val="single" w:sz="4" w:space="0" w:color="auto"/>
            </w:tcBorders>
          </w:tcPr>
          <w:p>
            <w:pPr>
              <w:pStyle w:val="style0"/>
              <w:jc w:val="both"/>
              <w:rPr>
                <w:rFonts w:ascii="Times New Roman" w:cs="Times New Roman" w:hAnsi="Times New Roman"/>
                <w:b/>
                <w:bCs/>
                <w:kern w:val="0"/>
                <w:szCs w:val="24"/>
              </w:rPr>
            </w:pPr>
            <w:r>
              <w:rPr>
                <w:rFonts w:ascii="Times New Roman" w:cs="Times New Roman" w:hAnsi="Times New Roman"/>
                <w:b/>
                <w:bCs/>
                <w:szCs w:val="24"/>
              </w:rPr>
              <w:t>PASI</w:t>
            </w:r>
          </w:p>
        </w:tc>
        <w:tc>
          <w:tcPr>
            <w:tcW w:w="1410" w:type="pct"/>
            <w:tcBorders>
              <w:top w:val="single" w:sz="4" w:space="0" w:color="auto"/>
            </w:tcBorders>
          </w:tcPr>
          <w:p>
            <w:pPr>
              <w:pStyle w:val="style0"/>
              <w:jc w:val="both"/>
              <w:rPr>
                <w:rFonts w:ascii="Times New Roman" w:cs="Times New Roman" w:hAnsi="Times New Roman"/>
                <w:b/>
                <w:bCs/>
                <w:kern w:val="0"/>
                <w:szCs w:val="24"/>
              </w:rPr>
            </w:pPr>
          </w:p>
        </w:tc>
        <w:tc>
          <w:tcPr>
            <w:tcW w:w="1017" w:type="pct"/>
            <w:gridSpan w:val="2"/>
            <w:tcBorders>
              <w:top w:val="single" w:sz="4" w:space="0" w:color="auto"/>
            </w:tcBorders>
          </w:tcPr>
          <w:p>
            <w:pPr>
              <w:pStyle w:val="style0"/>
              <w:jc w:val="both"/>
              <w:rPr>
                <w:rFonts w:ascii="Times New Roman" w:cs="Times New Roman" w:hAnsi="Times New Roman"/>
                <w:kern w:val="0"/>
                <w:szCs w:val="24"/>
              </w:rPr>
            </w:pPr>
          </w:p>
        </w:tc>
        <w:tc>
          <w:tcPr>
            <w:tcW w:w="1014" w:type="pct"/>
            <w:gridSpan w:val="2"/>
            <w:tcBorders>
              <w:top w:val="single" w:sz="4" w:space="0" w:color="auto"/>
            </w:tcBorders>
          </w:tcPr>
          <w:p>
            <w:pPr>
              <w:pStyle w:val="style0"/>
              <w:jc w:val="both"/>
              <w:rPr>
                <w:rFonts w:ascii="Times New Roman" w:cs="Times New Roman" w:hAnsi="Times New Roman"/>
                <w:kern w:val="0"/>
                <w:szCs w:val="24"/>
              </w:rPr>
            </w:pPr>
          </w:p>
        </w:tc>
        <w:tc>
          <w:tcPr>
            <w:tcW w:w="507" w:type="pct"/>
            <w:tcBorders>
              <w:top w:val="single" w:sz="4" w:space="0" w:color="auto"/>
            </w:tcBorders>
          </w:tcPr>
          <w:p>
            <w:pPr>
              <w:pStyle w:val="style0"/>
              <w:jc w:val="both"/>
              <w:rPr>
                <w:rFonts w:ascii="Times New Roman" w:cs="Times New Roman" w:hAnsi="Times New Roman"/>
                <w:kern w:val="0"/>
                <w:szCs w:val="24"/>
              </w:rPr>
            </w:pPr>
          </w:p>
        </w:tc>
        <w:tc>
          <w:tcPr>
            <w:tcW w:w="504" w:type="pct"/>
            <w:tcBorders>
              <w:top w:val="single" w:sz="4" w:space="0" w:color="auto"/>
            </w:tcBorders>
          </w:tcPr>
          <w:p>
            <w:pPr>
              <w:pStyle w:val="style0"/>
              <w:jc w:val="both"/>
              <w:rPr>
                <w:rFonts w:ascii="Times New Roman" w:cs="Times New Roman" w:hAnsi="Times New Roman"/>
                <w:kern w:val="0"/>
                <w:szCs w:val="24"/>
              </w:rPr>
            </w:pPr>
          </w:p>
        </w:tc>
      </w:tr>
      <w:tr>
        <w:tblPrEx/>
        <w:trPr>
          <w:trHeight w:val="20" w:hRule="atLeast"/>
          <w:jc w:val="center"/>
        </w:trPr>
        <w:tc>
          <w:tcPr>
            <w:tcW w:w="548" w:type="pct"/>
            <w:vMerge w:val="restart"/>
            <w:tcBorders/>
          </w:tcPr>
          <w:p>
            <w:pPr>
              <w:pStyle w:val="style0"/>
              <w:jc w:val="both"/>
              <w:rPr>
                <w:rFonts w:ascii="Times New Roman" w:cs="Times New Roman" w:hAnsi="Times New Roman"/>
                <w:b/>
                <w:bCs/>
                <w:szCs w:val="24"/>
              </w:rPr>
            </w:pPr>
            <w:r>
              <w:rPr>
                <w:rFonts w:ascii="Times New Roman" w:cs="Times New Roman" w:hAnsi="Times New Roman"/>
                <w:b/>
                <w:bCs/>
                <w:szCs w:val="24"/>
              </w:rPr>
              <w:t>Score</w:t>
            </w:r>
          </w:p>
        </w:tc>
        <w:tc>
          <w:tcPr>
            <w:tcW w:w="1410" w:type="pct"/>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Mean ± SD</w:t>
            </w:r>
          </w:p>
        </w:tc>
        <w:tc>
          <w:tcPr>
            <w:tcW w:w="1017" w:type="pct"/>
            <w:gridSpan w:val="2"/>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27.36±10.52</w:t>
            </w:r>
          </w:p>
        </w:tc>
        <w:tc>
          <w:tcPr>
            <w:tcW w:w="1014" w:type="pct"/>
            <w:gridSpan w:val="2"/>
            <w:tcBorders/>
            <w:vAlign w:val="center"/>
          </w:tcPr>
          <w:p>
            <w:pPr>
              <w:pStyle w:val="style0"/>
              <w:jc w:val="both"/>
              <w:rPr>
                <w:rFonts w:ascii="Times New Roman" w:cs="Times New Roman" w:hAnsi="Times New Roman"/>
                <w:szCs w:val="24"/>
              </w:rPr>
            </w:pPr>
            <w:r>
              <w:rPr>
                <w:rFonts w:ascii="Times New Roman" w:cs="Times New Roman" w:hAnsi="Times New Roman"/>
                <w:szCs w:val="24"/>
              </w:rPr>
              <w:t>14.18±9.81</w:t>
            </w:r>
          </w:p>
        </w:tc>
        <w:tc>
          <w:tcPr>
            <w:tcW w:w="507" w:type="pct"/>
            <w:vMerge w:val="restart"/>
            <w:tcBorders/>
            <w:vAlign w:val="center"/>
          </w:tcPr>
          <w:p>
            <w:pPr>
              <w:pStyle w:val="style0"/>
              <w:jc w:val="both"/>
              <w:rPr>
                <w:rFonts w:ascii="Times New Roman" w:cs="Times New Roman" w:hAnsi="Times New Roman"/>
                <w:szCs w:val="24"/>
              </w:rPr>
            </w:pPr>
            <w:r>
              <w:rPr>
                <w:rFonts w:ascii="Times New Roman" w:cs="Times New Roman" w:hAnsi="Times New Roman"/>
                <w:szCs w:val="24"/>
              </w:rPr>
              <w:t>Z`=</w:t>
            </w:r>
          </w:p>
          <w:p>
            <w:pPr>
              <w:pStyle w:val="style0"/>
              <w:jc w:val="both"/>
              <w:rPr>
                <w:rFonts w:ascii="Times New Roman" w:cs="Times New Roman" w:hAnsi="Times New Roman"/>
                <w:szCs w:val="24"/>
              </w:rPr>
            </w:pPr>
            <w:r>
              <w:rPr>
                <w:rFonts w:ascii="Times New Roman" w:cs="Times New Roman" w:hAnsi="Times New Roman"/>
                <w:szCs w:val="24"/>
              </w:rPr>
              <w:t>3.920</w:t>
            </w:r>
          </w:p>
        </w:tc>
        <w:tc>
          <w:tcPr>
            <w:tcW w:w="504" w:type="pct"/>
            <w:vMerge w:val="restart"/>
            <w:tcBorders/>
            <w:vAlign w:val="center"/>
          </w:tcPr>
          <w:p>
            <w:pPr>
              <w:pStyle w:val="style0"/>
              <w:jc w:val="both"/>
              <w:rPr>
                <w:rFonts w:ascii="Times New Roman" w:cs="Times New Roman" w:hAnsi="Times New Roman"/>
                <w:szCs w:val="24"/>
              </w:rPr>
            </w:pPr>
            <w:r>
              <w:rPr>
                <w:rFonts w:ascii="Times New Roman" w:cs="Times New Roman" w:hAnsi="Times New Roman"/>
                <w:szCs w:val="24"/>
              </w:rPr>
              <w:t>&lt;0.001*</w:t>
            </w:r>
          </w:p>
        </w:tc>
      </w:tr>
      <w:tr>
        <w:tblPrEx/>
        <w:trPr>
          <w:trHeight w:val="20" w:hRule="atLeast"/>
          <w:jc w:val="center"/>
        </w:trPr>
        <w:tc>
          <w:tcPr>
            <w:tcW w:w="548" w:type="pct"/>
            <w:vMerge w:val="continue"/>
            <w:tcBorders/>
          </w:tcPr>
          <w:p>
            <w:pPr>
              <w:pStyle w:val="style0"/>
              <w:jc w:val="both"/>
              <w:rPr>
                <w:rFonts w:ascii="Times New Roman" w:cs="Times New Roman" w:hAnsi="Times New Roman"/>
                <w:szCs w:val="24"/>
              </w:rPr>
            </w:pPr>
          </w:p>
        </w:tc>
        <w:tc>
          <w:tcPr>
            <w:tcW w:w="1410" w:type="pct"/>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Median (Min. – Max.)</w:t>
            </w:r>
          </w:p>
        </w:tc>
        <w:tc>
          <w:tcPr>
            <w:tcW w:w="1017" w:type="pct"/>
            <w:gridSpan w:val="2"/>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25.55(8.6-49.2)</w:t>
            </w:r>
          </w:p>
        </w:tc>
        <w:tc>
          <w:tcPr>
            <w:tcW w:w="1014" w:type="pct"/>
            <w:gridSpan w:val="2"/>
            <w:tcBorders/>
            <w:vAlign w:val="center"/>
          </w:tcPr>
          <w:p>
            <w:pPr>
              <w:pStyle w:val="style0"/>
              <w:jc w:val="both"/>
              <w:rPr>
                <w:rFonts w:ascii="Times New Roman" w:cs="Times New Roman" w:hAnsi="Times New Roman"/>
                <w:szCs w:val="24"/>
              </w:rPr>
            </w:pPr>
            <w:r>
              <w:rPr>
                <w:rFonts w:ascii="Times New Roman" w:cs="Times New Roman" w:hAnsi="Times New Roman"/>
                <w:szCs w:val="24"/>
              </w:rPr>
              <w:t>11.45(2.8-40.3)</w:t>
            </w:r>
          </w:p>
        </w:tc>
        <w:tc>
          <w:tcPr>
            <w:tcW w:w="507" w:type="pct"/>
            <w:vMerge w:val="continue"/>
            <w:tcBorders/>
            <w:vAlign w:val="center"/>
          </w:tcPr>
          <w:p>
            <w:pPr>
              <w:pStyle w:val="style0"/>
              <w:jc w:val="both"/>
              <w:rPr>
                <w:rFonts w:ascii="Times New Roman" w:cs="Times New Roman" w:hAnsi="Times New Roman"/>
                <w:szCs w:val="24"/>
              </w:rPr>
            </w:pPr>
          </w:p>
        </w:tc>
        <w:tc>
          <w:tcPr>
            <w:tcW w:w="504" w:type="pct"/>
            <w:vMerge w:val="continue"/>
            <w:tcBorders/>
            <w:vAlign w:val="center"/>
          </w:tcPr>
          <w:p>
            <w:pPr>
              <w:pStyle w:val="style0"/>
              <w:jc w:val="both"/>
              <w:rPr>
                <w:rFonts w:ascii="Times New Roman" w:cs="Times New Roman" w:hAnsi="Times New Roman"/>
                <w:szCs w:val="24"/>
              </w:rPr>
            </w:pPr>
          </w:p>
        </w:tc>
      </w:tr>
      <w:tr>
        <w:tblPrEx/>
        <w:trPr>
          <w:trHeight w:val="20" w:hRule="atLeast"/>
          <w:jc w:val="center"/>
        </w:trPr>
        <w:tc>
          <w:tcPr>
            <w:tcW w:w="548" w:type="pct"/>
            <w:vMerge w:val="restart"/>
            <w:tcBorders/>
          </w:tcPr>
          <w:p>
            <w:pPr>
              <w:pStyle w:val="style0"/>
              <w:jc w:val="both"/>
              <w:rPr>
                <w:rFonts w:ascii="Times New Roman" w:cs="Times New Roman" w:hAnsi="Times New Roman"/>
                <w:b/>
                <w:bCs/>
                <w:kern w:val="0"/>
                <w:szCs w:val="24"/>
              </w:rPr>
            </w:pPr>
            <w:r>
              <w:rPr>
                <w:rFonts w:ascii="Times New Roman" w:cs="Times New Roman" w:hAnsi="Times New Roman"/>
                <w:b/>
                <w:bCs/>
                <w:kern w:val="0"/>
                <w:szCs w:val="24"/>
              </w:rPr>
              <w:t>Grades</w:t>
            </w:r>
          </w:p>
        </w:tc>
        <w:tc>
          <w:tcPr>
            <w:tcW w:w="14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Mild</w:t>
            </w:r>
          </w:p>
        </w:tc>
        <w:tc>
          <w:tcPr>
            <w:tcW w:w="508"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0</w:t>
            </w:r>
          </w:p>
        </w:tc>
        <w:tc>
          <w:tcPr>
            <w:tcW w:w="509"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0.0%</w:t>
            </w:r>
          </w:p>
        </w:tc>
        <w:tc>
          <w:tcPr>
            <w:tcW w:w="507"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4</w:t>
            </w:r>
          </w:p>
        </w:tc>
        <w:tc>
          <w:tcPr>
            <w:tcW w:w="507"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20.0%</w:t>
            </w:r>
          </w:p>
        </w:tc>
        <w:tc>
          <w:tcPr>
            <w:tcW w:w="507" w:type="pct"/>
            <w:vMerge w:val="restart"/>
            <w:tcBorders/>
            <w:vAlign w:val="center"/>
          </w:tcPr>
          <w:p>
            <w:pPr>
              <w:pStyle w:val="style0"/>
              <w:jc w:val="both"/>
              <w:rPr>
                <w:rFonts w:ascii="Times New Roman" w:cs="Times New Roman" w:hAnsi="Times New Roman"/>
                <w:kern w:val="0"/>
                <w:szCs w:val="24"/>
              </w:rPr>
            </w:pPr>
            <w:r>
              <w:rPr>
                <w:rFonts w:ascii="Times New Roman" w:cs="Times New Roman" w:hAnsi="Times New Roman"/>
                <w:kern w:val="0"/>
                <w:szCs w:val="24"/>
              </w:rPr>
              <w:t>MH=</w:t>
            </w:r>
          </w:p>
          <w:p>
            <w:pPr>
              <w:pStyle w:val="style0"/>
              <w:jc w:val="both"/>
              <w:rPr>
                <w:rFonts w:ascii="Times New Roman" w:cs="Times New Roman" w:hAnsi="Times New Roman"/>
                <w:kern w:val="0"/>
                <w:szCs w:val="24"/>
              </w:rPr>
            </w:pPr>
            <w:r>
              <w:rPr>
                <w:rFonts w:ascii="Times New Roman" w:cs="Times New Roman" w:hAnsi="Times New Roman"/>
                <w:kern w:val="0"/>
                <w:szCs w:val="24"/>
              </w:rPr>
              <w:t>15.0</w:t>
            </w:r>
          </w:p>
        </w:tc>
        <w:tc>
          <w:tcPr>
            <w:tcW w:w="504" w:type="pct"/>
            <w:vMerge w:val="restart"/>
            <w:tcBorders/>
            <w:vAlign w:val="center"/>
          </w:tcPr>
          <w:p>
            <w:pPr>
              <w:pStyle w:val="style0"/>
              <w:jc w:val="both"/>
              <w:rPr>
                <w:rFonts w:ascii="Times New Roman" w:cs="Times New Roman" w:hAnsi="Times New Roman"/>
                <w:kern w:val="0"/>
                <w:szCs w:val="24"/>
              </w:rPr>
            </w:pPr>
            <w:r>
              <w:rPr>
                <w:rFonts w:ascii="Times New Roman" w:cs="Times New Roman" w:hAnsi="Times New Roman"/>
                <w:kern w:val="0"/>
                <w:szCs w:val="24"/>
              </w:rPr>
              <w:t>0.012*</w:t>
            </w:r>
          </w:p>
        </w:tc>
      </w:tr>
      <w:tr>
        <w:tblPrEx/>
        <w:trPr>
          <w:trHeight w:val="20" w:hRule="atLeast"/>
          <w:jc w:val="center"/>
        </w:trPr>
        <w:tc>
          <w:tcPr>
            <w:tcW w:w="548" w:type="pct"/>
            <w:vMerge w:val="continue"/>
            <w:tcBorders/>
          </w:tcPr>
          <w:p>
            <w:pPr>
              <w:pStyle w:val="style0"/>
              <w:jc w:val="both"/>
              <w:rPr>
                <w:rFonts w:ascii="Times New Roman" w:cs="Times New Roman" w:hAnsi="Times New Roman"/>
                <w:kern w:val="0"/>
                <w:szCs w:val="24"/>
              </w:rPr>
            </w:pPr>
          </w:p>
        </w:tc>
        <w:tc>
          <w:tcPr>
            <w:tcW w:w="14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Moderate</w:t>
            </w:r>
          </w:p>
        </w:tc>
        <w:tc>
          <w:tcPr>
            <w:tcW w:w="508"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w:t>
            </w:r>
          </w:p>
        </w:tc>
        <w:tc>
          <w:tcPr>
            <w:tcW w:w="509"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5.0%</w:t>
            </w:r>
          </w:p>
        </w:tc>
        <w:tc>
          <w:tcPr>
            <w:tcW w:w="507"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3</w:t>
            </w:r>
          </w:p>
        </w:tc>
        <w:tc>
          <w:tcPr>
            <w:tcW w:w="507"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15.0%</w:t>
            </w:r>
          </w:p>
        </w:tc>
        <w:tc>
          <w:tcPr>
            <w:tcW w:w="507" w:type="pct"/>
            <w:vMerge w:val="continue"/>
            <w:tcBorders/>
          </w:tcPr>
          <w:p>
            <w:pPr>
              <w:pStyle w:val="style0"/>
              <w:jc w:val="both"/>
              <w:rPr>
                <w:rFonts w:ascii="Times New Roman" w:cs="Times New Roman" w:hAnsi="Times New Roman"/>
                <w:kern w:val="0"/>
                <w:szCs w:val="24"/>
              </w:rPr>
            </w:pPr>
          </w:p>
        </w:tc>
        <w:tc>
          <w:tcPr>
            <w:tcW w:w="504" w:type="pct"/>
            <w:vMerge w:val="continue"/>
            <w:tcBorders/>
          </w:tcPr>
          <w:p>
            <w:pPr>
              <w:pStyle w:val="style0"/>
              <w:jc w:val="both"/>
              <w:rPr>
                <w:rFonts w:ascii="Times New Roman" w:cs="Times New Roman" w:hAnsi="Times New Roman"/>
                <w:kern w:val="0"/>
                <w:szCs w:val="24"/>
              </w:rPr>
            </w:pPr>
          </w:p>
        </w:tc>
      </w:tr>
      <w:tr>
        <w:tblPrEx/>
        <w:trPr>
          <w:trHeight w:val="20" w:hRule="atLeast"/>
          <w:jc w:val="center"/>
        </w:trPr>
        <w:tc>
          <w:tcPr>
            <w:tcW w:w="548" w:type="pct"/>
            <w:vMerge w:val="continue"/>
            <w:tcBorders/>
          </w:tcPr>
          <w:p>
            <w:pPr>
              <w:pStyle w:val="style0"/>
              <w:jc w:val="both"/>
              <w:rPr>
                <w:rFonts w:ascii="Times New Roman" w:cs="Times New Roman" w:hAnsi="Times New Roman"/>
                <w:kern w:val="0"/>
                <w:szCs w:val="24"/>
              </w:rPr>
            </w:pPr>
          </w:p>
        </w:tc>
        <w:tc>
          <w:tcPr>
            <w:tcW w:w="14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Severe</w:t>
            </w:r>
          </w:p>
        </w:tc>
        <w:tc>
          <w:tcPr>
            <w:tcW w:w="508"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19</w:t>
            </w:r>
          </w:p>
        </w:tc>
        <w:tc>
          <w:tcPr>
            <w:tcW w:w="509"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95.0%</w:t>
            </w:r>
          </w:p>
        </w:tc>
        <w:tc>
          <w:tcPr>
            <w:tcW w:w="507"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13</w:t>
            </w:r>
          </w:p>
        </w:tc>
        <w:tc>
          <w:tcPr>
            <w:tcW w:w="507"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65.0%</w:t>
            </w:r>
          </w:p>
        </w:tc>
        <w:tc>
          <w:tcPr>
            <w:tcW w:w="507" w:type="pct"/>
            <w:vMerge w:val="continue"/>
            <w:tcBorders/>
          </w:tcPr>
          <w:p>
            <w:pPr>
              <w:pStyle w:val="style0"/>
              <w:jc w:val="both"/>
              <w:rPr>
                <w:rFonts w:ascii="Times New Roman" w:cs="Times New Roman" w:hAnsi="Times New Roman"/>
                <w:kern w:val="0"/>
                <w:szCs w:val="24"/>
              </w:rPr>
            </w:pPr>
          </w:p>
        </w:tc>
        <w:tc>
          <w:tcPr>
            <w:tcW w:w="504" w:type="pct"/>
            <w:vMerge w:val="continue"/>
            <w:tcBorders/>
          </w:tcPr>
          <w:p>
            <w:pPr>
              <w:pStyle w:val="style0"/>
              <w:jc w:val="both"/>
              <w:rPr>
                <w:rFonts w:ascii="Times New Roman" w:cs="Times New Roman" w:hAnsi="Times New Roman"/>
                <w:kern w:val="0"/>
                <w:szCs w:val="24"/>
              </w:rPr>
            </w:pPr>
          </w:p>
        </w:tc>
      </w:tr>
    </w:tbl>
    <w:p>
      <w:pPr>
        <w:pStyle w:val="style1"/>
        <w:keepNext w:val="false"/>
        <w:keepLines w:val="false"/>
        <w:spacing w:before="120" w:after="240" w:lineRule="auto" w:line="360"/>
        <w:jc w:val="both"/>
        <w:rPr>
          <w:rFonts w:ascii="Times New Roman" w:hAnsi="Times New Roman"/>
          <w:color w:val="auto"/>
          <w:sz w:val="24"/>
          <w:szCs w:val="24"/>
        </w:rPr>
      </w:pPr>
    </w:p>
    <w:p>
      <w:pPr>
        <w:pStyle w:val="style0"/>
        <w:tabs>
          <w:tab w:val="left" w:leader="none" w:pos="5370"/>
        </w:tabs>
        <w:spacing w:before="120" w:after="240" w:lineRule="auto" w:line="360"/>
        <w:jc w:val="both"/>
        <w:rPr>
          <w:rFonts w:ascii="Times New Roman" w:cs="Times New Roman" w:hAnsi="Times New Roman"/>
          <w:b/>
          <w:bCs/>
          <w:szCs w:val="24"/>
        </w:rPr>
      </w:pPr>
      <w:r>
        <w:rPr>
          <w:rFonts w:ascii="Times New Roman" w:cs="Times New Roman" w:hAnsi="Times New Roman"/>
          <w:szCs w:val="24"/>
        </w:rPr>
        <w:t xml:space="preserve">          Among control </w:t>
      </w:r>
      <w:r>
        <w:rPr>
          <w:rFonts w:ascii="Times New Roman" w:cs="Times New Roman" w:hAnsi="Times New Roman"/>
          <w:szCs w:val="24"/>
        </w:rPr>
        <w:t>group ,</w:t>
      </w:r>
      <w:r>
        <w:rPr>
          <w:rFonts w:ascii="Times New Roman" w:cs="Times New Roman" w:hAnsi="Times New Roman"/>
          <w:szCs w:val="24"/>
        </w:rPr>
        <w:t xml:space="preserve"> </w:t>
      </w:r>
      <w:r>
        <w:rPr>
          <w:rFonts w:ascii="Times New Roman" w:cs="Times New Roman" w:hAnsi="Times New Roman"/>
          <w:szCs w:val="24"/>
        </w:rPr>
        <w:t>SREBP2 expression scores differed significantly between obese and non-obese individuals, with the obese group exhibiting higher scores (</w:t>
      </w:r>
      <w:r>
        <w:rPr>
          <w:rFonts w:ascii="Times New Roman" w:cs="Times New Roman" w:hAnsi="Times New Roman"/>
          <w:i/>
          <w:iCs/>
          <w:szCs w:val="24"/>
        </w:rPr>
        <w:t>p</w:t>
      </w:r>
      <w:r>
        <w:rPr>
          <w:rFonts w:ascii="Times New Roman" w:cs="Times New Roman" w:hAnsi="Times New Roman"/>
          <w:szCs w:val="24"/>
        </w:rPr>
        <w:t xml:space="preserve"> </w:t>
      </w:r>
      <w:r>
        <w:rPr>
          <w:rFonts w:ascii="Times New Roman" w:cs="Times New Roman" w:hAnsi="Times New Roman"/>
          <w:szCs w:val="24"/>
        </w:rPr>
        <w:t>&lt; 0.001). The statistical analysis revealed a strong association between expression levels and obesity status. However, within the psoriasis group, no significant differences in expression scores were observed between obese and non-obese patients.</w:t>
      </w:r>
      <w:r>
        <w:rPr>
          <w:rFonts w:ascii="Times New Roman" w:cs="Times New Roman" w:hAnsi="Times New Roman"/>
          <w:b/>
          <w:bCs/>
          <w:szCs w:val="24"/>
        </w:rPr>
        <w:t xml:space="preserve"> </w:t>
      </w:r>
      <w:r>
        <w:rPr>
          <w:rFonts w:ascii="Times New Roman" w:cs="Times New Roman" w:hAnsi="Times New Roman"/>
          <w:b/>
          <w:bCs/>
          <w:szCs w:val="24"/>
        </w:rPr>
        <w:t>(</w:t>
      </w:r>
      <w:r>
        <w:rPr>
          <w:rFonts w:ascii="Times New Roman" w:cs="Times New Roman" w:hAnsi="Times New Roman"/>
          <w:b/>
          <w:bCs/>
          <w:szCs w:val="24"/>
        </w:rPr>
        <w:t>T</w:t>
      </w:r>
      <w:r>
        <w:rPr>
          <w:rFonts w:ascii="Times New Roman" w:cs="Times New Roman" w:hAnsi="Times New Roman"/>
          <w:b/>
          <w:bCs/>
          <w:szCs w:val="24"/>
        </w:rPr>
        <w:t>able 2).</w:t>
      </w:r>
    </w:p>
    <w:p>
      <w:pPr>
        <w:pStyle w:val="style1"/>
        <w:keepNext w:val="false"/>
        <w:keepLines w:val="false"/>
        <w:spacing w:before="120" w:after="240" w:lineRule="auto" w:line="360"/>
        <w:jc w:val="both"/>
        <w:rPr>
          <w:rFonts w:ascii="Times New Roman" w:hAnsi="Times New Roman"/>
          <w:color w:val="auto"/>
          <w:sz w:val="24"/>
          <w:szCs w:val="24"/>
        </w:rPr>
      </w:pPr>
    </w:p>
    <w:p>
      <w:pPr>
        <w:pStyle w:val="style1"/>
        <w:keepNext w:val="false"/>
        <w:keepLines w:val="false"/>
        <w:spacing w:before="120" w:after="240" w:lineRule="auto" w:line="360"/>
        <w:jc w:val="both"/>
        <w:rPr>
          <w:rFonts w:ascii="Times New Roman" w:hAnsi="Times New Roman"/>
          <w:color w:val="auto"/>
          <w:sz w:val="24"/>
          <w:szCs w:val="24"/>
        </w:rPr>
      </w:pPr>
    </w:p>
    <w:p>
      <w:pPr>
        <w:pStyle w:val="style1"/>
        <w:keepNext w:val="false"/>
        <w:keepLines w:val="false"/>
        <w:spacing w:before="120" w:after="240" w:lineRule="auto" w:line="360"/>
        <w:jc w:val="both"/>
        <w:rPr>
          <w:rFonts w:ascii="Times New Roman" w:hAnsi="Times New Roman"/>
          <w:color w:val="auto"/>
          <w:sz w:val="24"/>
          <w:szCs w:val="24"/>
        </w:rPr>
      </w:pPr>
    </w:p>
    <w:p>
      <w:pPr>
        <w:pStyle w:val="style1"/>
        <w:keepNext w:val="false"/>
        <w:keepLines w:val="false"/>
        <w:spacing w:before="120" w:after="240" w:lineRule="auto" w:line="360"/>
        <w:jc w:val="both"/>
        <w:rPr>
          <w:rFonts w:ascii="Times New Roman" w:hAnsi="Times New Roman"/>
          <w:color w:val="auto"/>
          <w:sz w:val="24"/>
          <w:szCs w:val="24"/>
        </w:rPr>
      </w:pPr>
    </w:p>
    <w:p>
      <w:pPr>
        <w:pStyle w:val="style1"/>
        <w:keepNext w:val="false"/>
        <w:keepLines w:val="false"/>
        <w:spacing w:before="120" w:after="240" w:lineRule="auto" w:line="360"/>
        <w:jc w:val="both"/>
        <w:rPr>
          <w:rFonts w:ascii="Times New Roman" w:hAnsi="Times New Roman"/>
          <w:color w:val="auto"/>
          <w:sz w:val="24"/>
          <w:szCs w:val="24"/>
        </w:rPr>
      </w:pPr>
    </w:p>
    <w:p>
      <w:pPr>
        <w:pStyle w:val="style1"/>
        <w:keepNext w:val="false"/>
        <w:keepLines w:val="false"/>
        <w:spacing w:before="120" w:after="240" w:lineRule="auto" w:line="360"/>
        <w:jc w:val="both"/>
        <w:rPr>
          <w:rFonts w:ascii="Times New Roman" w:hAnsi="Times New Roman"/>
          <w:b w:val="false"/>
          <w:bCs w:val="false"/>
          <w:color w:val="auto"/>
          <w:sz w:val="24"/>
          <w:szCs w:val="24"/>
        </w:rPr>
      </w:pPr>
      <w:r>
        <w:rPr>
          <w:rFonts w:ascii="Times New Roman" w:hAnsi="Times New Roman"/>
          <w:color w:val="auto"/>
          <w:sz w:val="24"/>
          <w:szCs w:val="24"/>
        </w:rPr>
        <w:t xml:space="preserve">Table (2). Comparison between the studied groups regarding SREBP 2 expression score before NB UVB </w:t>
      </w:r>
      <w:r>
        <w:rPr>
          <w:rFonts w:ascii="Times New Roman" w:hAnsi="Times New Roman"/>
          <w:color w:val="auto"/>
          <w:sz w:val="24"/>
          <w:szCs w:val="24"/>
        </w:rPr>
        <w:t>phototherapy.</w:t>
      </w:r>
      <w:r>
        <w:rPr>
          <w:rFonts w:ascii="Times New Roman" w:hAnsi="Times New Roman"/>
          <w:b w:val="false"/>
          <w:bCs w:val="false"/>
          <w:color w:val="auto"/>
          <w:sz w:val="24"/>
          <w:szCs w:val="24"/>
        </w:rPr>
        <w:t>№</w:t>
      </w:r>
      <w:r>
        <w:rPr>
          <w:rFonts w:ascii="Times New Roman" w:hAnsi="Times New Roman"/>
          <w:b w:val="false"/>
          <w:bCs w:val="false"/>
          <w:color w:val="auto"/>
          <w:sz w:val="24"/>
          <w:szCs w:val="24"/>
        </w:rPr>
        <w:t xml:space="preserve">, count; SD, standard deviation; min, minimum; max, maximum; χ2, chi square test; Z, Mann Whitney test; *, </w:t>
      </w:r>
      <w:r>
        <w:rPr>
          <w:rFonts w:ascii="Times New Roman" w:hAnsi="Times New Roman"/>
          <w:b w:val="false"/>
          <w:bCs w:val="false"/>
          <w:i/>
          <w:iCs/>
          <w:color w:val="auto"/>
          <w:sz w:val="24"/>
          <w:szCs w:val="24"/>
        </w:rPr>
        <w:t>p</w:t>
      </w:r>
      <w:r>
        <w:rPr>
          <w:rFonts w:ascii="Times New Roman" w:hAnsi="Times New Roman"/>
          <w:color w:val="auto"/>
          <w:sz w:val="24"/>
          <w:szCs w:val="24"/>
        </w:rPr>
        <w:t xml:space="preserve"> </w:t>
      </w:r>
      <w:r>
        <w:rPr>
          <w:rFonts w:ascii="Times New Roman" w:hAnsi="Times New Roman"/>
          <w:b w:val="false"/>
          <w:bCs w:val="false"/>
          <w:color w:val="auto"/>
          <w:sz w:val="24"/>
          <w:szCs w:val="24"/>
        </w:rPr>
        <w:t>&lt;0.05 is considered significant.</w:t>
      </w:r>
    </w:p>
    <w:tbl>
      <w:tblPr>
        <w:tblStyle w:val="style4116"/>
        <w:tblW w:w="5660" w:type="pct"/>
        <w:jc w:val="center"/>
        <w:tblBorders>
          <w:left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1642"/>
        <w:gridCol w:w="374"/>
        <w:gridCol w:w="765"/>
        <w:gridCol w:w="374"/>
        <w:gridCol w:w="765"/>
        <w:gridCol w:w="724"/>
        <w:gridCol w:w="950"/>
        <w:gridCol w:w="388"/>
        <w:gridCol w:w="793"/>
        <w:gridCol w:w="388"/>
        <w:gridCol w:w="793"/>
        <w:gridCol w:w="724"/>
        <w:gridCol w:w="724"/>
      </w:tblGrid>
      <w:tr>
        <w:trPr>
          <w:trHeight w:val="20" w:hRule="atLeast"/>
          <w:jc w:val="center"/>
        </w:trPr>
        <w:tc>
          <w:tcPr>
            <w:tcW w:w="1104" w:type="pct"/>
            <w:tcBorders>
              <w:bottom w:val="nil"/>
            </w:tcBorders>
            <w:vAlign w:val="center"/>
          </w:tcPr>
          <w:p>
            <w:pPr>
              <w:pStyle w:val="style0"/>
              <w:ind w:left="84" w:right="12"/>
              <w:jc w:val="both"/>
              <w:rPr>
                <w:rFonts w:ascii="Times New Roman" w:cs="Times New Roman" w:hAnsi="Times New Roman"/>
                <w:szCs w:val="24"/>
              </w:rPr>
            </w:pPr>
          </w:p>
        </w:tc>
        <w:tc>
          <w:tcPr>
            <w:tcW w:w="2016" w:type="pct"/>
            <w:gridSpan w:val="6"/>
            <w:tcBorders>
              <w:bottom w:val="nil"/>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 xml:space="preserve">Control </w:t>
            </w:r>
            <w:r>
              <w:rPr>
                <w:rFonts w:ascii="Times New Roman" w:cs="Times New Roman" w:hAnsi="Times New Roman"/>
                <w:b/>
                <w:bCs/>
                <w:szCs w:val="24"/>
              </w:rPr>
              <w:br/>
            </w:r>
            <w:r>
              <w:rPr>
                <w:rFonts w:ascii="Times New Roman" w:cs="Times New Roman" w:hAnsi="Times New Roman"/>
                <w:b/>
                <w:bCs/>
                <w:szCs w:val="24"/>
              </w:rPr>
              <w:t>n = 20</w:t>
            </w:r>
          </w:p>
        </w:tc>
        <w:tc>
          <w:tcPr>
            <w:tcW w:w="1880" w:type="pct"/>
            <w:gridSpan w:val="6"/>
            <w:tcBorders>
              <w:bottom w:val="nil"/>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Psoriasis</w:t>
            </w:r>
          </w:p>
          <w:p>
            <w:pPr>
              <w:pStyle w:val="style0"/>
              <w:ind w:left="84" w:right="12"/>
              <w:jc w:val="both"/>
              <w:rPr>
                <w:rFonts w:ascii="Times New Roman" w:cs="Times New Roman" w:hAnsi="Times New Roman"/>
                <w:b/>
                <w:bCs/>
                <w:i/>
                <w:iCs/>
                <w:szCs w:val="24"/>
              </w:rPr>
            </w:pPr>
            <w:r>
              <w:rPr>
                <w:rFonts w:ascii="Times New Roman" w:cs="Times New Roman" w:hAnsi="Times New Roman"/>
                <w:b/>
                <w:bCs/>
                <w:szCs w:val="24"/>
              </w:rPr>
              <w:t>№ =20</w:t>
            </w:r>
          </w:p>
        </w:tc>
      </w:tr>
      <w:tr>
        <w:tblPrEx/>
        <w:trPr>
          <w:trHeight w:val="20" w:hRule="atLeast"/>
          <w:jc w:val="center"/>
        </w:trPr>
        <w:tc>
          <w:tcPr>
            <w:tcW w:w="1104" w:type="pct"/>
            <w:vMerge w:val="restart"/>
            <w:tcBorders>
              <w:top w:val="nil"/>
              <w:bottom w:val="nil"/>
            </w:tcBorders>
          </w:tcPr>
          <w:p>
            <w:pPr>
              <w:pStyle w:val="style0"/>
              <w:ind w:left="84" w:right="12"/>
              <w:jc w:val="both"/>
              <w:rPr>
                <w:rFonts w:ascii="Times New Roman" w:cs="Times New Roman" w:hAnsi="Times New Roman"/>
                <w:szCs w:val="24"/>
              </w:rPr>
            </w:pPr>
            <w:r>
              <w:rPr>
                <w:rFonts w:ascii="Times New Roman" w:cs="Times New Roman" w:hAnsi="Times New Roman"/>
                <w:b/>
                <w:bCs/>
                <w:kern w:val="0"/>
                <w:szCs w:val="24"/>
              </w:rPr>
              <w:t>SREBP 2 expression score before NB UVB phototherapy</w:t>
            </w:r>
          </w:p>
        </w:tc>
        <w:tc>
          <w:tcPr>
            <w:tcW w:w="588" w:type="pct"/>
            <w:gridSpan w:val="2"/>
            <w:tcBorders>
              <w:top w:val="nil"/>
              <w:bottom w:val="nil"/>
            </w:tcBorders>
            <w:hideMark/>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Non obese</w:t>
            </w:r>
          </w:p>
          <w:p>
            <w:pPr>
              <w:pStyle w:val="style0"/>
              <w:ind w:left="84" w:right="12"/>
              <w:jc w:val="both"/>
              <w:rPr>
                <w:rFonts w:ascii="Times New Roman" w:cs="Times New Roman" w:hAnsi="Times New Roman"/>
                <w:b/>
                <w:bCs/>
                <w:szCs w:val="24"/>
              </w:rPr>
            </w:pPr>
            <w:r>
              <w:rPr>
                <w:rFonts w:ascii="Times New Roman" w:cs="Times New Roman" w:hAnsi="Times New Roman"/>
                <w:b/>
                <w:bCs/>
                <w:szCs w:val="24"/>
              </w:rPr>
              <w:t>№ =10</w:t>
            </w:r>
          </w:p>
        </w:tc>
        <w:tc>
          <w:tcPr>
            <w:tcW w:w="588" w:type="pct"/>
            <w:gridSpan w:val="2"/>
            <w:tcBorders>
              <w:top w:val="nil"/>
              <w:bottom w:val="nil"/>
            </w:tcBorders>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Obese</w:t>
            </w:r>
          </w:p>
          <w:p>
            <w:pPr>
              <w:pStyle w:val="style0"/>
              <w:ind w:left="84" w:right="12"/>
              <w:jc w:val="both"/>
              <w:rPr>
                <w:rFonts w:ascii="Times New Roman" w:cs="Times New Roman" w:hAnsi="Times New Roman"/>
                <w:b/>
                <w:bCs/>
                <w:szCs w:val="24"/>
              </w:rPr>
            </w:pPr>
            <w:r>
              <w:rPr>
                <w:rFonts w:ascii="Times New Roman" w:cs="Times New Roman" w:hAnsi="Times New Roman"/>
                <w:b/>
                <w:bCs/>
                <w:szCs w:val="24"/>
              </w:rPr>
              <w:t>№ =10</w:t>
            </w:r>
          </w:p>
        </w:tc>
        <w:tc>
          <w:tcPr>
            <w:tcW w:w="352" w:type="pct"/>
            <w:tcBorders>
              <w:top w:val="nil"/>
              <w:bottom w:val="nil"/>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Test</w:t>
            </w:r>
          </w:p>
        </w:tc>
        <w:tc>
          <w:tcPr>
            <w:tcW w:w="487" w:type="pct"/>
            <w:tcBorders>
              <w:top w:val="nil"/>
              <w:bottom w:val="nil"/>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i/>
                <w:iCs/>
                <w:szCs w:val="24"/>
              </w:rPr>
              <w:t>p</w:t>
            </w:r>
          </w:p>
        </w:tc>
        <w:tc>
          <w:tcPr>
            <w:tcW w:w="588" w:type="pct"/>
            <w:gridSpan w:val="2"/>
            <w:tcBorders>
              <w:top w:val="nil"/>
              <w:bottom w:val="nil"/>
            </w:tcBorders>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Non obese</w:t>
            </w:r>
          </w:p>
          <w:p>
            <w:pPr>
              <w:pStyle w:val="style0"/>
              <w:ind w:left="84" w:right="12"/>
              <w:jc w:val="both"/>
              <w:rPr>
                <w:rFonts w:ascii="Times New Roman" w:cs="Times New Roman" w:hAnsi="Times New Roman"/>
                <w:b/>
                <w:bCs/>
                <w:szCs w:val="24"/>
              </w:rPr>
            </w:pPr>
            <w:r>
              <w:rPr>
                <w:rFonts w:ascii="Times New Roman" w:cs="Times New Roman" w:hAnsi="Times New Roman"/>
                <w:b/>
                <w:bCs/>
                <w:szCs w:val="24"/>
              </w:rPr>
              <w:t>№ =10</w:t>
            </w:r>
          </w:p>
        </w:tc>
        <w:tc>
          <w:tcPr>
            <w:tcW w:w="588" w:type="pct"/>
            <w:gridSpan w:val="2"/>
            <w:tcBorders>
              <w:top w:val="nil"/>
              <w:bottom w:val="nil"/>
            </w:tcBorders>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Obese</w:t>
            </w:r>
          </w:p>
          <w:p>
            <w:pPr>
              <w:pStyle w:val="style0"/>
              <w:ind w:left="84" w:right="12"/>
              <w:jc w:val="both"/>
              <w:rPr>
                <w:rFonts w:ascii="Times New Roman" w:cs="Times New Roman" w:hAnsi="Times New Roman"/>
                <w:b/>
                <w:bCs/>
                <w:szCs w:val="24"/>
              </w:rPr>
            </w:pPr>
            <w:r>
              <w:rPr>
                <w:rFonts w:ascii="Times New Roman" w:cs="Times New Roman" w:hAnsi="Times New Roman"/>
                <w:b/>
                <w:bCs/>
                <w:szCs w:val="24"/>
              </w:rPr>
              <w:t>№ =10</w:t>
            </w:r>
          </w:p>
        </w:tc>
        <w:tc>
          <w:tcPr>
            <w:tcW w:w="352" w:type="pct"/>
            <w:vMerge w:val="restart"/>
            <w:tcBorders>
              <w:top w:val="nil"/>
              <w:bottom w:val="nil"/>
            </w:tcBorders>
            <w:vAlign w:val="center"/>
            <w:hideMark/>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Test</w:t>
            </w:r>
          </w:p>
        </w:tc>
        <w:tc>
          <w:tcPr>
            <w:tcW w:w="352" w:type="pct"/>
            <w:vMerge w:val="restart"/>
            <w:tcBorders>
              <w:top w:val="nil"/>
              <w:bottom w:val="nil"/>
            </w:tcBorders>
            <w:vAlign w:val="center"/>
            <w:hideMark/>
          </w:tcPr>
          <w:p>
            <w:pPr>
              <w:pStyle w:val="style0"/>
              <w:ind w:left="84" w:right="12"/>
              <w:jc w:val="both"/>
              <w:rPr>
                <w:rFonts w:ascii="Times New Roman" w:cs="Times New Roman" w:hAnsi="Times New Roman"/>
                <w:b/>
                <w:bCs/>
                <w:i/>
                <w:iCs/>
                <w:szCs w:val="24"/>
              </w:rPr>
            </w:pPr>
            <w:r>
              <w:rPr>
                <w:rFonts w:ascii="Times New Roman" w:cs="Times New Roman" w:hAnsi="Times New Roman"/>
                <w:b/>
                <w:bCs/>
                <w:i/>
                <w:iCs/>
                <w:szCs w:val="24"/>
              </w:rPr>
              <w:t>P</w:t>
            </w:r>
          </w:p>
        </w:tc>
      </w:tr>
      <w:tr>
        <w:tblPrEx/>
        <w:trPr>
          <w:trHeight w:val="20" w:hRule="atLeast"/>
          <w:jc w:val="center"/>
        </w:trPr>
        <w:tc>
          <w:tcPr>
            <w:tcW w:w="1104" w:type="pct"/>
            <w:vMerge w:val="continue"/>
            <w:tcBorders>
              <w:top w:val="nil"/>
              <w:bottom w:val="single" w:sz="4" w:space="0" w:color="auto"/>
            </w:tcBorders>
            <w:vAlign w:val="center"/>
            <w:hideMark/>
          </w:tcPr>
          <w:p>
            <w:pPr>
              <w:pStyle w:val="style0"/>
              <w:ind w:left="84" w:right="12"/>
              <w:jc w:val="both"/>
              <w:rPr>
                <w:rFonts w:ascii="Times New Roman" w:cs="Times New Roman" w:hAnsi="Times New Roman"/>
                <w:szCs w:val="24"/>
              </w:rPr>
            </w:pPr>
          </w:p>
        </w:tc>
        <w:tc>
          <w:tcPr>
            <w:tcW w:w="194" w:type="pct"/>
            <w:tcBorders>
              <w:top w:val="nil"/>
              <w:bottom w:val="single" w:sz="4" w:space="0" w:color="auto"/>
            </w:tcBorders>
            <w:vAlign w:val="center"/>
            <w:hideMark/>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394" w:type="pct"/>
            <w:tcBorders>
              <w:top w:val="nil"/>
              <w:bottom w:val="single" w:sz="4" w:space="0" w:color="auto"/>
            </w:tcBorders>
            <w:vAlign w:val="center"/>
            <w:hideMark/>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194" w:type="pct"/>
            <w:tcBorders>
              <w:top w:val="nil"/>
              <w:bottom w:val="single" w:sz="4" w:space="0" w:color="auto"/>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394" w:type="pct"/>
            <w:tcBorders>
              <w:top w:val="nil"/>
              <w:bottom w:val="single" w:sz="4" w:space="0" w:color="auto"/>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352" w:type="pct"/>
            <w:tcBorders>
              <w:top w:val="nil"/>
              <w:bottom w:val="single" w:sz="4" w:space="0" w:color="auto"/>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487" w:type="pct"/>
            <w:tcBorders>
              <w:top w:val="nil"/>
              <w:bottom w:val="single" w:sz="4" w:space="0" w:color="auto"/>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194" w:type="pct"/>
            <w:tcBorders>
              <w:top w:val="nil"/>
              <w:bottom w:val="single" w:sz="4" w:space="0" w:color="auto"/>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394" w:type="pct"/>
            <w:tcBorders>
              <w:top w:val="nil"/>
              <w:bottom w:val="single" w:sz="4" w:space="0" w:color="auto"/>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194" w:type="pct"/>
            <w:tcBorders>
              <w:top w:val="nil"/>
              <w:bottom w:val="single" w:sz="4" w:space="0" w:color="auto"/>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394" w:type="pct"/>
            <w:tcBorders>
              <w:top w:val="nil"/>
              <w:bottom w:val="single" w:sz="4" w:space="0" w:color="auto"/>
            </w:tcBorders>
            <w:vAlign w:val="center"/>
          </w:tcPr>
          <w:p>
            <w:pPr>
              <w:pStyle w:val="style0"/>
              <w:ind w:left="84" w:right="12"/>
              <w:jc w:val="both"/>
              <w:rPr>
                <w:rFonts w:ascii="Times New Roman" w:cs="Times New Roman" w:hAnsi="Times New Roman"/>
                <w:b/>
                <w:bCs/>
                <w:szCs w:val="24"/>
              </w:rPr>
            </w:pPr>
            <w:r>
              <w:rPr>
                <w:rFonts w:ascii="Times New Roman" w:cs="Times New Roman" w:hAnsi="Times New Roman"/>
                <w:b/>
                <w:bCs/>
                <w:szCs w:val="24"/>
              </w:rPr>
              <w:t>%</w:t>
            </w:r>
          </w:p>
        </w:tc>
        <w:tc>
          <w:tcPr>
            <w:tcW w:w="352" w:type="pct"/>
            <w:vMerge w:val="continue"/>
            <w:tcBorders>
              <w:top w:val="nil"/>
              <w:bottom w:val="single" w:sz="4" w:space="0" w:color="auto"/>
            </w:tcBorders>
            <w:vAlign w:val="center"/>
            <w:hideMark/>
          </w:tcPr>
          <w:p>
            <w:pPr>
              <w:pStyle w:val="style0"/>
              <w:ind w:left="84" w:right="12"/>
              <w:jc w:val="both"/>
              <w:rPr>
                <w:rFonts w:ascii="Times New Roman" w:cs="Times New Roman" w:hAnsi="Times New Roman"/>
                <w:b/>
                <w:bCs/>
                <w:szCs w:val="24"/>
              </w:rPr>
            </w:pPr>
          </w:p>
        </w:tc>
        <w:tc>
          <w:tcPr>
            <w:tcW w:w="352" w:type="pct"/>
            <w:vMerge w:val="continue"/>
            <w:tcBorders>
              <w:top w:val="nil"/>
              <w:bottom w:val="single" w:sz="4" w:space="0" w:color="auto"/>
            </w:tcBorders>
            <w:vAlign w:val="center"/>
            <w:hideMark/>
          </w:tcPr>
          <w:p>
            <w:pPr>
              <w:pStyle w:val="style0"/>
              <w:ind w:left="84" w:right="12"/>
              <w:jc w:val="both"/>
              <w:rPr>
                <w:rFonts w:ascii="Times New Roman" w:cs="Times New Roman" w:hAnsi="Times New Roman"/>
                <w:b/>
                <w:bCs/>
                <w:szCs w:val="24"/>
              </w:rPr>
            </w:pPr>
          </w:p>
        </w:tc>
      </w:tr>
      <w:tr>
        <w:tblPrEx/>
        <w:trPr>
          <w:trHeight w:val="20" w:hRule="atLeast"/>
          <w:jc w:val="center"/>
        </w:trPr>
        <w:tc>
          <w:tcPr>
            <w:tcW w:w="1104" w:type="pct"/>
            <w:tcBorders>
              <w:top w:val="single" w:sz="4" w:space="0" w:color="auto"/>
            </w:tcBorders>
          </w:tcPr>
          <w:p>
            <w:pPr>
              <w:pStyle w:val="style0"/>
              <w:ind w:left="84" w:right="12"/>
              <w:jc w:val="both"/>
              <w:rPr>
                <w:rFonts w:ascii="Times New Roman" w:cs="Times New Roman" w:hAnsi="Times New Roman"/>
                <w:b/>
                <w:bCs/>
                <w:kern w:val="0"/>
                <w:szCs w:val="24"/>
              </w:rPr>
            </w:pPr>
            <w:r>
              <w:rPr>
                <w:rFonts w:ascii="Times New Roman" w:cs="Times New Roman" w:hAnsi="Times New Roman"/>
                <w:b/>
                <w:bCs/>
                <w:kern w:val="0"/>
                <w:szCs w:val="24"/>
              </w:rPr>
              <w:t xml:space="preserve">SREBP 2 </w:t>
            </w:r>
          </w:p>
        </w:tc>
        <w:tc>
          <w:tcPr>
            <w:tcW w:w="194" w:type="pct"/>
            <w:tcBorders>
              <w:top w:val="single" w:sz="4" w:space="0" w:color="auto"/>
            </w:tcBorders>
          </w:tcPr>
          <w:p>
            <w:pPr>
              <w:pStyle w:val="style0"/>
              <w:ind w:left="84" w:right="12"/>
              <w:jc w:val="both"/>
              <w:rPr>
                <w:rFonts w:ascii="Times New Roman" w:cs="Times New Roman" w:hAnsi="Times New Roman"/>
                <w:kern w:val="0"/>
                <w:szCs w:val="24"/>
              </w:rPr>
            </w:pPr>
          </w:p>
        </w:tc>
        <w:tc>
          <w:tcPr>
            <w:tcW w:w="394" w:type="pct"/>
            <w:tcBorders>
              <w:top w:val="single" w:sz="4" w:space="0" w:color="auto"/>
            </w:tcBorders>
          </w:tcPr>
          <w:p>
            <w:pPr>
              <w:pStyle w:val="style0"/>
              <w:ind w:left="84" w:right="12"/>
              <w:jc w:val="both"/>
              <w:rPr>
                <w:rFonts w:ascii="Times New Roman" w:cs="Times New Roman" w:hAnsi="Times New Roman"/>
                <w:kern w:val="0"/>
                <w:szCs w:val="24"/>
              </w:rPr>
            </w:pPr>
          </w:p>
        </w:tc>
        <w:tc>
          <w:tcPr>
            <w:tcW w:w="194" w:type="pct"/>
            <w:tcBorders>
              <w:top w:val="single" w:sz="4" w:space="0" w:color="auto"/>
            </w:tcBorders>
          </w:tcPr>
          <w:p>
            <w:pPr>
              <w:pStyle w:val="style0"/>
              <w:ind w:left="84" w:right="12"/>
              <w:jc w:val="both"/>
              <w:rPr>
                <w:rFonts w:ascii="Times New Roman" w:cs="Times New Roman" w:hAnsi="Times New Roman"/>
                <w:kern w:val="0"/>
                <w:szCs w:val="24"/>
              </w:rPr>
            </w:pPr>
          </w:p>
        </w:tc>
        <w:tc>
          <w:tcPr>
            <w:tcW w:w="394" w:type="pct"/>
            <w:tcBorders>
              <w:top w:val="single" w:sz="4" w:space="0" w:color="auto"/>
            </w:tcBorders>
          </w:tcPr>
          <w:p>
            <w:pPr>
              <w:pStyle w:val="style0"/>
              <w:ind w:left="84" w:right="12"/>
              <w:jc w:val="both"/>
              <w:rPr>
                <w:rFonts w:ascii="Times New Roman" w:cs="Times New Roman" w:hAnsi="Times New Roman"/>
                <w:kern w:val="0"/>
                <w:szCs w:val="24"/>
              </w:rPr>
            </w:pPr>
          </w:p>
        </w:tc>
        <w:tc>
          <w:tcPr>
            <w:tcW w:w="352" w:type="pct"/>
            <w:tcBorders>
              <w:top w:val="single" w:sz="4" w:space="0" w:color="auto"/>
            </w:tcBorders>
          </w:tcPr>
          <w:p>
            <w:pPr>
              <w:pStyle w:val="style0"/>
              <w:ind w:left="84" w:right="12"/>
              <w:jc w:val="both"/>
              <w:rPr>
                <w:rFonts w:ascii="Times New Roman" w:cs="Times New Roman" w:hAnsi="Times New Roman"/>
                <w:kern w:val="0"/>
                <w:szCs w:val="24"/>
              </w:rPr>
            </w:pPr>
          </w:p>
        </w:tc>
        <w:tc>
          <w:tcPr>
            <w:tcW w:w="487" w:type="pct"/>
            <w:tcBorders>
              <w:top w:val="single" w:sz="4" w:space="0" w:color="auto"/>
            </w:tcBorders>
          </w:tcPr>
          <w:p>
            <w:pPr>
              <w:pStyle w:val="style0"/>
              <w:ind w:left="84" w:right="12"/>
              <w:jc w:val="both"/>
              <w:rPr>
                <w:rFonts w:ascii="Times New Roman" w:cs="Times New Roman" w:hAnsi="Times New Roman"/>
                <w:kern w:val="0"/>
                <w:szCs w:val="24"/>
              </w:rPr>
            </w:pPr>
          </w:p>
        </w:tc>
        <w:tc>
          <w:tcPr>
            <w:tcW w:w="194" w:type="pct"/>
            <w:tcBorders>
              <w:top w:val="single" w:sz="4" w:space="0" w:color="auto"/>
            </w:tcBorders>
          </w:tcPr>
          <w:p>
            <w:pPr>
              <w:pStyle w:val="style0"/>
              <w:ind w:left="84" w:right="12"/>
              <w:jc w:val="both"/>
              <w:rPr>
                <w:rFonts w:ascii="Times New Roman" w:cs="Times New Roman" w:hAnsi="Times New Roman"/>
                <w:kern w:val="0"/>
                <w:szCs w:val="24"/>
              </w:rPr>
            </w:pPr>
          </w:p>
        </w:tc>
        <w:tc>
          <w:tcPr>
            <w:tcW w:w="394" w:type="pct"/>
            <w:tcBorders>
              <w:top w:val="single" w:sz="4" w:space="0" w:color="auto"/>
            </w:tcBorders>
          </w:tcPr>
          <w:p>
            <w:pPr>
              <w:pStyle w:val="style0"/>
              <w:ind w:left="84" w:right="12"/>
              <w:jc w:val="both"/>
              <w:rPr>
                <w:rFonts w:ascii="Times New Roman" w:cs="Times New Roman" w:hAnsi="Times New Roman"/>
                <w:kern w:val="0"/>
                <w:szCs w:val="24"/>
              </w:rPr>
            </w:pPr>
          </w:p>
        </w:tc>
        <w:tc>
          <w:tcPr>
            <w:tcW w:w="194" w:type="pct"/>
            <w:tcBorders>
              <w:top w:val="single" w:sz="4" w:space="0" w:color="auto"/>
            </w:tcBorders>
          </w:tcPr>
          <w:p>
            <w:pPr>
              <w:pStyle w:val="style0"/>
              <w:ind w:left="84" w:right="12"/>
              <w:jc w:val="both"/>
              <w:rPr>
                <w:rFonts w:ascii="Times New Roman" w:cs="Times New Roman" w:hAnsi="Times New Roman"/>
                <w:kern w:val="0"/>
                <w:szCs w:val="24"/>
              </w:rPr>
            </w:pPr>
          </w:p>
        </w:tc>
        <w:tc>
          <w:tcPr>
            <w:tcW w:w="394" w:type="pct"/>
            <w:tcBorders>
              <w:top w:val="single" w:sz="4" w:space="0" w:color="auto"/>
            </w:tcBorders>
          </w:tcPr>
          <w:p>
            <w:pPr>
              <w:pStyle w:val="style0"/>
              <w:ind w:left="84" w:right="12"/>
              <w:jc w:val="both"/>
              <w:rPr>
                <w:rFonts w:ascii="Times New Roman" w:cs="Times New Roman" w:hAnsi="Times New Roman"/>
                <w:kern w:val="0"/>
                <w:szCs w:val="24"/>
              </w:rPr>
            </w:pPr>
          </w:p>
        </w:tc>
        <w:tc>
          <w:tcPr>
            <w:tcW w:w="352" w:type="pct"/>
            <w:tcBorders>
              <w:top w:val="single" w:sz="4" w:space="0" w:color="auto"/>
            </w:tcBorders>
          </w:tcPr>
          <w:p>
            <w:pPr>
              <w:pStyle w:val="style0"/>
              <w:ind w:left="84" w:right="12"/>
              <w:jc w:val="both"/>
              <w:rPr>
                <w:rFonts w:ascii="Times New Roman" w:cs="Times New Roman" w:hAnsi="Times New Roman"/>
                <w:kern w:val="0"/>
                <w:szCs w:val="24"/>
              </w:rPr>
            </w:pPr>
          </w:p>
        </w:tc>
        <w:tc>
          <w:tcPr>
            <w:tcW w:w="352" w:type="pct"/>
            <w:tcBorders>
              <w:top w:val="single" w:sz="4" w:space="0" w:color="auto"/>
            </w:tcBorders>
            <w:vAlign w:val="center"/>
          </w:tcPr>
          <w:p>
            <w:pPr>
              <w:pStyle w:val="style0"/>
              <w:ind w:left="84" w:right="12"/>
              <w:jc w:val="both"/>
              <w:rPr>
                <w:rFonts w:ascii="Times New Roman" w:cs="Times New Roman" w:hAnsi="Times New Roman"/>
                <w:szCs w:val="24"/>
              </w:rPr>
            </w:pPr>
          </w:p>
        </w:tc>
      </w:tr>
      <w:tr>
        <w:tblPrEx/>
        <w:trPr>
          <w:trHeight w:val="20" w:hRule="atLeast"/>
          <w:jc w:val="center"/>
        </w:trPr>
        <w:tc>
          <w:tcPr>
            <w:tcW w:w="1104" w:type="pct"/>
            <w:tcBorders/>
          </w:tcPr>
          <w:p>
            <w:pPr>
              <w:pStyle w:val="style0"/>
              <w:ind w:left="84" w:right="12"/>
              <w:jc w:val="both"/>
              <w:rPr>
                <w:rFonts w:ascii="Times New Roman" w:cs="Times New Roman" w:hAnsi="Times New Roman"/>
                <w:b/>
                <w:bCs/>
                <w:kern w:val="0"/>
                <w:szCs w:val="24"/>
              </w:rPr>
            </w:pPr>
            <w:r>
              <w:rPr>
                <w:rFonts w:ascii="Times New Roman" w:cs="Times New Roman" w:hAnsi="Times New Roman"/>
                <w:b/>
                <w:bCs/>
                <w:kern w:val="0"/>
                <w:szCs w:val="24"/>
              </w:rPr>
              <w:t>0</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352" w:type="pct"/>
            <w:vMerge w:val="restart"/>
            <w:tcBorders/>
            <w:vAlign w:val="center"/>
          </w:tcPr>
          <w:p>
            <w:pPr>
              <w:pStyle w:val="style0"/>
              <w:ind w:left="84" w:right="12"/>
              <w:jc w:val="both"/>
              <w:rPr>
                <w:rFonts w:ascii="Times New Roman" w:cs="Times New Roman" w:hAnsi="Times New Roman"/>
                <w:szCs w:val="24"/>
              </w:rPr>
            </w:pPr>
            <w:r>
              <w:rPr>
                <w:rFonts w:ascii="Times New Roman" w:cs="Times New Roman" w:hAnsi="Times New Roman"/>
                <w:szCs w:val="24"/>
              </w:rPr>
              <w:t>χ</w:t>
            </w:r>
            <w:r>
              <w:rPr>
                <w:rFonts w:ascii="Times New Roman" w:cs="Times New Roman" w:hAnsi="Times New Roman"/>
                <w:szCs w:val="24"/>
                <w:vertAlign w:val="superscript"/>
              </w:rPr>
              <w:t>2</w:t>
            </w:r>
            <w:r>
              <w:rPr>
                <w:rFonts w:ascii="Times New Roman" w:cs="Times New Roman" w:hAnsi="Times New Roman"/>
                <w:szCs w:val="24"/>
              </w:rPr>
              <w:t>=</w:t>
            </w:r>
          </w:p>
          <w:p>
            <w:pPr>
              <w:pStyle w:val="style0"/>
              <w:ind w:left="84" w:right="12"/>
              <w:jc w:val="both"/>
              <w:rPr>
                <w:rFonts w:ascii="Times New Roman" w:cs="Times New Roman" w:hAnsi="Times New Roman"/>
                <w:kern w:val="0"/>
                <w:szCs w:val="24"/>
              </w:rPr>
            </w:pPr>
            <w:r>
              <w:rPr>
                <w:rFonts w:ascii="Times New Roman" w:cs="Times New Roman" w:hAnsi="Times New Roman"/>
                <w:kern w:val="0"/>
                <w:szCs w:val="24"/>
              </w:rPr>
              <w:t>20.0</w:t>
            </w:r>
          </w:p>
        </w:tc>
        <w:tc>
          <w:tcPr>
            <w:tcW w:w="487" w:type="pct"/>
            <w:vMerge w:val="restar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&lt;0.001*</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4</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33.3%</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3</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37.5%</w:t>
            </w:r>
          </w:p>
        </w:tc>
        <w:tc>
          <w:tcPr>
            <w:tcW w:w="352" w:type="pct"/>
            <w:vMerge w:val="restart"/>
            <w:tcBorders/>
            <w:vAlign w:val="center"/>
          </w:tcPr>
          <w:p>
            <w:pPr>
              <w:pStyle w:val="style0"/>
              <w:ind w:left="84" w:right="12"/>
              <w:jc w:val="both"/>
              <w:rPr>
                <w:rFonts w:ascii="Times New Roman" w:cs="Times New Roman" w:hAnsi="Times New Roman"/>
                <w:szCs w:val="24"/>
              </w:rPr>
            </w:pPr>
            <w:r>
              <w:rPr>
                <w:rFonts w:ascii="Times New Roman" w:cs="Times New Roman" w:hAnsi="Times New Roman"/>
                <w:szCs w:val="24"/>
              </w:rPr>
              <w:t>χ</w:t>
            </w:r>
            <w:r>
              <w:rPr>
                <w:rFonts w:ascii="Times New Roman" w:cs="Times New Roman" w:hAnsi="Times New Roman"/>
                <w:szCs w:val="24"/>
                <w:vertAlign w:val="superscript"/>
              </w:rPr>
              <w:t>2</w:t>
            </w:r>
            <w:r>
              <w:rPr>
                <w:rFonts w:ascii="Times New Roman" w:cs="Times New Roman" w:hAnsi="Times New Roman"/>
                <w:szCs w:val="24"/>
              </w:rPr>
              <w:t>=</w:t>
            </w:r>
          </w:p>
          <w:p>
            <w:pPr>
              <w:pStyle w:val="style0"/>
              <w:ind w:left="84" w:right="12"/>
              <w:jc w:val="both"/>
              <w:rPr>
                <w:rFonts w:ascii="Times New Roman" w:cs="Times New Roman" w:hAnsi="Times New Roman"/>
                <w:kern w:val="0"/>
                <w:szCs w:val="24"/>
              </w:rPr>
            </w:pPr>
            <w:r>
              <w:rPr>
                <w:rFonts w:ascii="Times New Roman" w:cs="Times New Roman" w:hAnsi="Times New Roman"/>
                <w:kern w:val="0"/>
                <w:szCs w:val="24"/>
              </w:rPr>
              <w:t>3.766</w:t>
            </w:r>
          </w:p>
        </w:tc>
        <w:tc>
          <w:tcPr>
            <w:tcW w:w="352" w:type="pct"/>
            <w:vMerge w:val="restart"/>
            <w:tcBorders/>
            <w:vAlign w:val="center"/>
          </w:tcPr>
          <w:p>
            <w:pPr>
              <w:pStyle w:val="style0"/>
              <w:ind w:left="84" w:right="12"/>
              <w:jc w:val="both"/>
              <w:rPr>
                <w:rFonts w:ascii="Times New Roman" w:cs="Times New Roman" w:hAnsi="Times New Roman"/>
                <w:szCs w:val="24"/>
              </w:rPr>
            </w:pPr>
            <w:r>
              <w:rPr>
                <w:rFonts w:ascii="Times New Roman" w:cs="Times New Roman" w:hAnsi="Times New Roman"/>
                <w:szCs w:val="24"/>
              </w:rPr>
              <w:t>0.163</w:t>
            </w:r>
          </w:p>
        </w:tc>
      </w:tr>
      <w:tr>
        <w:tblPrEx/>
        <w:trPr>
          <w:trHeight w:val="20" w:hRule="atLeast"/>
          <w:jc w:val="center"/>
        </w:trPr>
        <w:tc>
          <w:tcPr>
            <w:tcW w:w="1104" w:type="pct"/>
            <w:tcBorders/>
          </w:tcPr>
          <w:p>
            <w:pPr>
              <w:pStyle w:val="style0"/>
              <w:ind w:left="84" w:right="12"/>
              <w:jc w:val="both"/>
              <w:rPr>
                <w:rFonts w:ascii="Times New Roman" w:cs="Times New Roman" w:hAnsi="Times New Roman"/>
                <w:b/>
                <w:bCs/>
                <w:kern w:val="0"/>
                <w:szCs w:val="24"/>
              </w:rPr>
            </w:pPr>
            <w:r>
              <w:rPr>
                <w:rFonts w:ascii="Times New Roman" w:cs="Times New Roman" w:hAnsi="Times New Roman"/>
                <w:b/>
                <w:bCs/>
                <w:kern w:val="0"/>
                <w:szCs w:val="24"/>
              </w:rPr>
              <w:t>1</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6</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60.0%</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352" w:type="pct"/>
            <w:vMerge w:val="continue"/>
            <w:tcBorders/>
            <w:vAlign w:val="center"/>
          </w:tcPr>
          <w:p>
            <w:pPr>
              <w:pStyle w:val="style0"/>
              <w:ind w:left="84" w:right="12"/>
              <w:jc w:val="both"/>
              <w:rPr>
                <w:rFonts w:ascii="Times New Roman" w:cs="Times New Roman" w:hAnsi="Times New Roman"/>
                <w:kern w:val="0"/>
                <w:szCs w:val="24"/>
              </w:rPr>
            </w:pPr>
          </w:p>
        </w:tc>
        <w:tc>
          <w:tcPr>
            <w:tcW w:w="487" w:type="pct"/>
            <w:vMerge w:val="continue"/>
            <w:tcBorders/>
            <w:vAlign w:val="center"/>
          </w:tcPr>
          <w:p>
            <w:pPr>
              <w:pStyle w:val="style0"/>
              <w:ind w:left="84" w:right="12"/>
              <w:jc w:val="both"/>
              <w:rPr>
                <w:rFonts w:ascii="Times New Roman" w:cs="Times New Roman" w:hAnsi="Times New Roman"/>
                <w:kern w:val="0"/>
                <w:szCs w:val="24"/>
              </w:rPr>
            </w:pP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8</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66.7%</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3</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37.5%</w:t>
            </w:r>
          </w:p>
        </w:tc>
        <w:tc>
          <w:tcPr>
            <w:tcW w:w="352" w:type="pct"/>
            <w:vMerge w:val="continue"/>
            <w:tcBorders/>
            <w:vAlign w:val="center"/>
          </w:tcPr>
          <w:p>
            <w:pPr>
              <w:pStyle w:val="style0"/>
              <w:ind w:left="84" w:right="12"/>
              <w:jc w:val="both"/>
              <w:rPr>
                <w:rFonts w:ascii="Times New Roman" w:cs="Times New Roman" w:hAnsi="Times New Roman"/>
                <w:kern w:val="0"/>
                <w:szCs w:val="24"/>
              </w:rPr>
            </w:pPr>
          </w:p>
        </w:tc>
        <w:tc>
          <w:tcPr>
            <w:tcW w:w="352" w:type="pct"/>
            <w:vMerge w:val="continue"/>
            <w:tcBorders/>
            <w:vAlign w:val="center"/>
          </w:tcPr>
          <w:p>
            <w:pPr>
              <w:pStyle w:val="style0"/>
              <w:ind w:left="84" w:right="12"/>
              <w:jc w:val="both"/>
              <w:rPr>
                <w:rFonts w:ascii="Times New Roman" w:cs="Times New Roman" w:hAnsi="Times New Roman"/>
                <w:szCs w:val="24"/>
              </w:rPr>
            </w:pPr>
          </w:p>
        </w:tc>
      </w:tr>
      <w:tr>
        <w:tblPrEx/>
        <w:trPr>
          <w:trHeight w:val="20" w:hRule="atLeast"/>
          <w:jc w:val="center"/>
        </w:trPr>
        <w:tc>
          <w:tcPr>
            <w:tcW w:w="1104" w:type="pct"/>
            <w:tcBorders/>
          </w:tcPr>
          <w:p>
            <w:pPr>
              <w:pStyle w:val="style0"/>
              <w:ind w:left="84" w:right="12"/>
              <w:jc w:val="both"/>
              <w:rPr>
                <w:rFonts w:ascii="Times New Roman" w:cs="Times New Roman" w:hAnsi="Times New Roman"/>
                <w:b/>
                <w:bCs/>
                <w:kern w:val="0"/>
                <w:szCs w:val="24"/>
              </w:rPr>
            </w:pPr>
            <w:r>
              <w:rPr>
                <w:rFonts w:ascii="Times New Roman" w:cs="Times New Roman" w:hAnsi="Times New Roman"/>
                <w:b/>
                <w:bCs/>
                <w:kern w:val="0"/>
                <w:szCs w:val="24"/>
              </w:rPr>
              <w:t>2</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4</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40.0%</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352" w:type="pct"/>
            <w:vMerge w:val="continue"/>
            <w:tcBorders/>
            <w:vAlign w:val="center"/>
          </w:tcPr>
          <w:p>
            <w:pPr>
              <w:pStyle w:val="style0"/>
              <w:ind w:left="84" w:right="12"/>
              <w:jc w:val="both"/>
              <w:rPr>
                <w:rFonts w:ascii="Times New Roman" w:cs="Times New Roman" w:hAnsi="Times New Roman"/>
                <w:kern w:val="0"/>
                <w:szCs w:val="24"/>
              </w:rPr>
            </w:pPr>
          </w:p>
        </w:tc>
        <w:tc>
          <w:tcPr>
            <w:tcW w:w="487" w:type="pct"/>
            <w:vMerge w:val="continue"/>
            <w:tcBorders/>
            <w:vAlign w:val="center"/>
          </w:tcPr>
          <w:p>
            <w:pPr>
              <w:pStyle w:val="style0"/>
              <w:ind w:left="84" w:right="12"/>
              <w:jc w:val="both"/>
              <w:rPr>
                <w:rFonts w:ascii="Times New Roman" w:cs="Times New Roman" w:hAnsi="Times New Roman"/>
                <w:kern w:val="0"/>
                <w:szCs w:val="24"/>
              </w:rPr>
            </w:pP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2</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25.0%</w:t>
            </w:r>
          </w:p>
        </w:tc>
        <w:tc>
          <w:tcPr>
            <w:tcW w:w="352" w:type="pct"/>
            <w:vMerge w:val="continue"/>
            <w:tcBorders/>
            <w:vAlign w:val="center"/>
          </w:tcPr>
          <w:p>
            <w:pPr>
              <w:pStyle w:val="style0"/>
              <w:ind w:left="84" w:right="12"/>
              <w:jc w:val="both"/>
              <w:rPr>
                <w:rFonts w:ascii="Times New Roman" w:cs="Times New Roman" w:hAnsi="Times New Roman"/>
                <w:kern w:val="0"/>
                <w:szCs w:val="24"/>
              </w:rPr>
            </w:pPr>
          </w:p>
        </w:tc>
        <w:tc>
          <w:tcPr>
            <w:tcW w:w="352" w:type="pct"/>
            <w:vMerge w:val="continue"/>
            <w:tcBorders/>
            <w:vAlign w:val="center"/>
          </w:tcPr>
          <w:p>
            <w:pPr>
              <w:pStyle w:val="style0"/>
              <w:ind w:left="84" w:right="12"/>
              <w:jc w:val="both"/>
              <w:rPr>
                <w:rFonts w:ascii="Times New Roman" w:cs="Times New Roman" w:hAnsi="Times New Roman"/>
                <w:szCs w:val="24"/>
              </w:rPr>
            </w:pPr>
          </w:p>
        </w:tc>
      </w:tr>
      <w:tr>
        <w:tblPrEx/>
        <w:trPr>
          <w:trHeight w:val="20" w:hRule="atLeast"/>
          <w:jc w:val="center"/>
        </w:trPr>
        <w:tc>
          <w:tcPr>
            <w:tcW w:w="1104" w:type="pct"/>
            <w:tcBorders/>
          </w:tcPr>
          <w:p>
            <w:pPr>
              <w:pStyle w:val="style0"/>
              <w:ind w:left="84" w:right="12"/>
              <w:jc w:val="both"/>
              <w:rPr>
                <w:rFonts w:ascii="Times New Roman" w:cs="Times New Roman" w:hAnsi="Times New Roman"/>
                <w:b/>
                <w:bCs/>
                <w:kern w:val="0"/>
                <w:szCs w:val="24"/>
              </w:rPr>
            </w:pPr>
            <w:r>
              <w:rPr>
                <w:rFonts w:ascii="Times New Roman" w:cs="Times New Roman" w:hAnsi="Times New Roman"/>
                <w:b/>
                <w:bCs/>
                <w:kern w:val="0"/>
                <w:szCs w:val="24"/>
              </w:rPr>
              <w:t>3</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6</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60.0%</w:t>
            </w:r>
          </w:p>
        </w:tc>
        <w:tc>
          <w:tcPr>
            <w:tcW w:w="352" w:type="pct"/>
            <w:vMerge w:val="continue"/>
            <w:tcBorders/>
            <w:vAlign w:val="center"/>
          </w:tcPr>
          <w:p>
            <w:pPr>
              <w:pStyle w:val="style0"/>
              <w:ind w:left="84" w:right="12"/>
              <w:jc w:val="both"/>
              <w:rPr>
                <w:rFonts w:ascii="Times New Roman" w:cs="Times New Roman" w:hAnsi="Times New Roman"/>
                <w:kern w:val="0"/>
                <w:szCs w:val="24"/>
              </w:rPr>
            </w:pPr>
          </w:p>
        </w:tc>
        <w:tc>
          <w:tcPr>
            <w:tcW w:w="487" w:type="pct"/>
            <w:vMerge w:val="continue"/>
            <w:tcBorders/>
            <w:vAlign w:val="center"/>
          </w:tcPr>
          <w:p>
            <w:pPr>
              <w:pStyle w:val="style0"/>
              <w:ind w:left="84" w:right="12"/>
              <w:jc w:val="both"/>
              <w:rPr>
                <w:rFonts w:ascii="Times New Roman" w:cs="Times New Roman" w:hAnsi="Times New Roman"/>
                <w:kern w:val="0"/>
                <w:szCs w:val="24"/>
              </w:rPr>
            </w:pP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352" w:type="pct"/>
            <w:vMerge w:val="continue"/>
            <w:tcBorders/>
            <w:vAlign w:val="center"/>
          </w:tcPr>
          <w:p>
            <w:pPr>
              <w:pStyle w:val="style0"/>
              <w:ind w:left="84" w:right="12"/>
              <w:jc w:val="both"/>
              <w:rPr>
                <w:rFonts w:ascii="Times New Roman" w:cs="Times New Roman" w:hAnsi="Times New Roman"/>
                <w:kern w:val="0"/>
                <w:szCs w:val="24"/>
              </w:rPr>
            </w:pPr>
          </w:p>
        </w:tc>
        <w:tc>
          <w:tcPr>
            <w:tcW w:w="352" w:type="pct"/>
            <w:vMerge w:val="continue"/>
            <w:tcBorders/>
            <w:vAlign w:val="center"/>
          </w:tcPr>
          <w:p>
            <w:pPr>
              <w:pStyle w:val="style0"/>
              <w:ind w:left="84" w:right="12"/>
              <w:jc w:val="both"/>
              <w:rPr>
                <w:rFonts w:ascii="Times New Roman" w:cs="Times New Roman" w:hAnsi="Times New Roman"/>
                <w:szCs w:val="24"/>
              </w:rPr>
            </w:pPr>
          </w:p>
        </w:tc>
      </w:tr>
      <w:tr>
        <w:tblPrEx/>
        <w:trPr>
          <w:trHeight w:val="20" w:hRule="atLeast"/>
          <w:jc w:val="center"/>
        </w:trPr>
        <w:tc>
          <w:tcPr>
            <w:tcW w:w="1104" w:type="pct"/>
            <w:tcBorders/>
          </w:tcPr>
          <w:p>
            <w:pPr>
              <w:pStyle w:val="style0"/>
              <w:ind w:left="84" w:right="12"/>
              <w:jc w:val="both"/>
              <w:rPr>
                <w:rFonts w:ascii="Times New Roman" w:cs="Times New Roman" w:hAnsi="Times New Roman"/>
                <w:b/>
                <w:bCs/>
                <w:kern w:val="0"/>
                <w:szCs w:val="24"/>
              </w:rPr>
            </w:pPr>
            <w:r>
              <w:rPr>
                <w:rFonts w:ascii="Times New Roman" w:cs="Times New Roman" w:hAnsi="Times New Roman"/>
                <w:b/>
                <w:bCs/>
                <w:kern w:val="0"/>
                <w:szCs w:val="24"/>
              </w:rPr>
              <w:t>4</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4</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40.0%</w:t>
            </w:r>
          </w:p>
        </w:tc>
        <w:tc>
          <w:tcPr>
            <w:tcW w:w="352" w:type="pct"/>
            <w:vMerge w:val="continue"/>
            <w:tcBorders/>
            <w:vAlign w:val="center"/>
          </w:tcPr>
          <w:p>
            <w:pPr>
              <w:pStyle w:val="style0"/>
              <w:ind w:left="84" w:right="12"/>
              <w:jc w:val="both"/>
              <w:rPr>
                <w:rFonts w:ascii="Times New Roman" w:cs="Times New Roman" w:hAnsi="Times New Roman"/>
                <w:kern w:val="0"/>
                <w:szCs w:val="24"/>
              </w:rPr>
            </w:pPr>
          </w:p>
        </w:tc>
        <w:tc>
          <w:tcPr>
            <w:tcW w:w="487" w:type="pct"/>
            <w:vMerge w:val="continue"/>
            <w:tcBorders/>
            <w:vAlign w:val="center"/>
          </w:tcPr>
          <w:p>
            <w:pPr>
              <w:pStyle w:val="style0"/>
              <w:ind w:left="84" w:right="12"/>
              <w:jc w:val="both"/>
              <w:rPr>
                <w:rFonts w:ascii="Times New Roman" w:cs="Times New Roman" w:hAnsi="Times New Roman"/>
                <w:kern w:val="0"/>
                <w:szCs w:val="24"/>
              </w:rPr>
            </w:pP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1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w:t>
            </w:r>
          </w:p>
        </w:tc>
        <w:tc>
          <w:tcPr>
            <w:tcW w:w="39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0.0%</w:t>
            </w:r>
          </w:p>
        </w:tc>
        <w:tc>
          <w:tcPr>
            <w:tcW w:w="352" w:type="pct"/>
            <w:vMerge w:val="continue"/>
            <w:tcBorders/>
            <w:vAlign w:val="center"/>
          </w:tcPr>
          <w:p>
            <w:pPr>
              <w:pStyle w:val="style0"/>
              <w:ind w:left="84" w:right="12"/>
              <w:jc w:val="both"/>
              <w:rPr>
                <w:rFonts w:ascii="Times New Roman" w:cs="Times New Roman" w:hAnsi="Times New Roman"/>
                <w:kern w:val="0"/>
                <w:szCs w:val="24"/>
              </w:rPr>
            </w:pPr>
          </w:p>
        </w:tc>
        <w:tc>
          <w:tcPr>
            <w:tcW w:w="352" w:type="pct"/>
            <w:vMerge w:val="continue"/>
            <w:tcBorders/>
            <w:vAlign w:val="center"/>
          </w:tcPr>
          <w:p>
            <w:pPr>
              <w:pStyle w:val="style0"/>
              <w:ind w:left="84" w:right="12"/>
              <w:jc w:val="both"/>
              <w:rPr>
                <w:rFonts w:ascii="Times New Roman" w:cs="Times New Roman" w:hAnsi="Times New Roman"/>
                <w:szCs w:val="24"/>
              </w:rPr>
            </w:pPr>
          </w:p>
        </w:tc>
      </w:tr>
      <w:tr>
        <w:tblPrEx/>
        <w:trPr>
          <w:trHeight w:val="20" w:hRule="atLeast"/>
          <w:jc w:val="center"/>
        </w:trPr>
        <w:tc>
          <w:tcPr>
            <w:tcW w:w="110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Mean ± SD</w:t>
            </w:r>
          </w:p>
        </w:tc>
        <w:tc>
          <w:tcPr>
            <w:tcW w:w="588" w:type="pct"/>
            <w:gridSpan w:val="2"/>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1.4±0.52</w:t>
            </w:r>
          </w:p>
        </w:tc>
        <w:tc>
          <w:tcPr>
            <w:tcW w:w="588" w:type="pct"/>
            <w:gridSpan w:val="2"/>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3.4±0.52</w:t>
            </w:r>
          </w:p>
        </w:tc>
        <w:tc>
          <w:tcPr>
            <w:tcW w:w="352" w:type="pct"/>
            <w:vMerge w:val="restar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kern w:val="0"/>
                <w:szCs w:val="24"/>
              </w:rPr>
              <w:t>Z=</w:t>
            </w:r>
          </w:p>
          <w:p>
            <w:pPr>
              <w:pStyle w:val="style0"/>
              <w:ind w:left="84" w:right="12"/>
              <w:jc w:val="both"/>
              <w:rPr>
                <w:rFonts w:ascii="Times New Roman" w:cs="Times New Roman" w:hAnsi="Times New Roman"/>
                <w:kern w:val="0"/>
                <w:szCs w:val="24"/>
              </w:rPr>
            </w:pPr>
            <w:r>
              <w:rPr>
                <w:rFonts w:ascii="Times New Roman" w:cs="Times New Roman" w:hAnsi="Times New Roman"/>
                <w:kern w:val="0"/>
                <w:szCs w:val="24"/>
              </w:rPr>
              <w:t>3.914</w:t>
            </w:r>
          </w:p>
        </w:tc>
        <w:tc>
          <w:tcPr>
            <w:tcW w:w="487" w:type="pct"/>
            <w:vMerge w:val="restar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&lt;0.001*</w:t>
            </w:r>
          </w:p>
        </w:tc>
        <w:tc>
          <w:tcPr>
            <w:tcW w:w="588" w:type="pct"/>
            <w:gridSpan w:val="2"/>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0.67±0.49</w:t>
            </w:r>
          </w:p>
        </w:tc>
        <w:tc>
          <w:tcPr>
            <w:tcW w:w="588" w:type="pct"/>
            <w:gridSpan w:val="2"/>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0.88±0.83</w:t>
            </w:r>
          </w:p>
        </w:tc>
        <w:tc>
          <w:tcPr>
            <w:tcW w:w="352" w:type="pct"/>
            <w:vMerge w:val="restar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kern w:val="0"/>
                <w:szCs w:val="24"/>
              </w:rPr>
              <w:t>Z=</w:t>
            </w:r>
          </w:p>
          <w:p>
            <w:pPr>
              <w:pStyle w:val="style0"/>
              <w:ind w:left="84" w:right="12"/>
              <w:jc w:val="both"/>
              <w:rPr>
                <w:rFonts w:ascii="Times New Roman" w:cs="Times New Roman" w:hAnsi="Times New Roman"/>
                <w:kern w:val="0"/>
                <w:szCs w:val="24"/>
              </w:rPr>
            </w:pPr>
            <w:r>
              <w:rPr>
                <w:rFonts w:ascii="Times New Roman" w:cs="Times New Roman" w:hAnsi="Times New Roman"/>
                <w:kern w:val="0"/>
                <w:szCs w:val="24"/>
              </w:rPr>
              <w:t>0.520</w:t>
            </w:r>
          </w:p>
        </w:tc>
        <w:tc>
          <w:tcPr>
            <w:tcW w:w="352" w:type="pct"/>
            <w:vMerge w:val="restart"/>
            <w:tcBorders/>
            <w:vAlign w:val="center"/>
          </w:tcPr>
          <w:p>
            <w:pPr>
              <w:pStyle w:val="style0"/>
              <w:ind w:left="84" w:right="12"/>
              <w:jc w:val="both"/>
              <w:rPr>
                <w:rFonts w:ascii="Times New Roman" w:cs="Times New Roman" w:hAnsi="Times New Roman"/>
                <w:szCs w:val="24"/>
              </w:rPr>
            </w:pPr>
            <w:r>
              <w:rPr>
                <w:rFonts w:ascii="Times New Roman" w:cs="Times New Roman" w:hAnsi="Times New Roman"/>
                <w:szCs w:val="24"/>
              </w:rPr>
              <w:t>0.678</w:t>
            </w:r>
          </w:p>
        </w:tc>
      </w:tr>
      <w:tr>
        <w:tblPrEx/>
        <w:trPr>
          <w:trHeight w:val="20" w:hRule="atLeast"/>
          <w:jc w:val="center"/>
        </w:trPr>
        <w:tc>
          <w:tcPr>
            <w:tcW w:w="1104" w:type="pct"/>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Median (Min. – Max.)</w:t>
            </w:r>
          </w:p>
        </w:tc>
        <w:tc>
          <w:tcPr>
            <w:tcW w:w="588" w:type="pct"/>
            <w:gridSpan w:val="2"/>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1 (1-2)</w:t>
            </w:r>
          </w:p>
        </w:tc>
        <w:tc>
          <w:tcPr>
            <w:tcW w:w="588" w:type="pct"/>
            <w:gridSpan w:val="2"/>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3 (3-4)</w:t>
            </w:r>
          </w:p>
        </w:tc>
        <w:tc>
          <w:tcPr>
            <w:tcW w:w="352" w:type="pct"/>
            <w:vMerge w:val="continue"/>
            <w:tcBorders/>
          </w:tcPr>
          <w:p>
            <w:pPr>
              <w:pStyle w:val="style0"/>
              <w:ind w:left="84" w:right="12"/>
              <w:jc w:val="both"/>
              <w:rPr>
                <w:rFonts w:ascii="Times New Roman" w:cs="Times New Roman" w:hAnsi="Times New Roman"/>
                <w:kern w:val="0"/>
                <w:szCs w:val="24"/>
              </w:rPr>
            </w:pPr>
          </w:p>
        </w:tc>
        <w:tc>
          <w:tcPr>
            <w:tcW w:w="487" w:type="pct"/>
            <w:vMerge w:val="continue"/>
            <w:tcBorders/>
            <w:vAlign w:val="center"/>
          </w:tcPr>
          <w:p>
            <w:pPr>
              <w:pStyle w:val="style0"/>
              <w:ind w:left="84" w:right="12"/>
              <w:jc w:val="both"/>
              <w:rPr>
                <w:rFonts w:ascii="Times New Roman" w:cs="Times New Roman" w:hAnsi="Times New Roman"/>
                <w:kern w:val="0"/>
                <w:szCs w:val="24"/>
              </w:rPr>
            </w:pPr>
          </w:p>
        </w:tc>
        <w:tc>
          <w:tcPr>
            <w:tcW w:w="588" w:type="pct"/>
            <w:gridSpan w:val="2"/>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1 (0-1)</w:t>
            </w:r>
          </w:p>
        </w:tc>
        <w:tc>
          <w:tcPr>
            <w:tcW w:w="588" w:type="pct"/>
            <w:gridSpan w:val="2"/>
            <w:tcBorders/>
            <w:vAlign w:val="center"/>
          </w:tcPr>
          <w:p>
            <w:pPr>
              <w:pStyle w:val="style0"/>
              <w:ind w:left="84" w:right="12"/>
              <w:jc w:val="both"/>
              <w:rPr>
                <w:rFonts w:ascii="Times New Roman" w:cs="Times New Roman" w:hAnsi="Times New Roman"/>
                <w:kern w:val="0"/>
                <w:szCs w:val="24"/>
              </w:rPr>
            </w:pPr>
            <w:r>
              <w:rPr>
                <w:rFonts w:ascii="Times New Roman" w:cs="Times New Roman" w:hAnsi="Times New Roman"/>
                <w:szCs w:val="24"/>
              </w:rPr>
              <w:t>1 (0-2)</w:t>
            </w:r>
          </w:p>
        </w:tc>
        <w:tc>
          <w:tcPr>
            <w:tcW w:w="352" w:type="pct"/>
            <w:vMerge w:val="continue"/>
            <w:tcBorders/>
          </w:tcPr>
          <w:p>
            <w:pPr>
              <w:pStyle w:val="style0"/>
              <w:ind w:left="84" w:right="12"/>
              <w:jc w:val="both"/>
              <w:rPr>
                <w:rFonts w:ascii="Times New Roman" w:cs="Times New Roman" w:hAnsi="Times New Roman"/>
                <w:kern w:val="0"/>
                <w:szCs w:val="24"/>
              </w:rPr>
            </w:pPr>
          </w:p>
        </w:tc>
        <w:tc>
          <w:tcPr>
            <w:tcW w:w="352" w:type="pct"/>
            <w:vMerge w:val="continue"/>
            <w:tcBorders/>
            <w:vAlign w:val="center"/>
          </w:tcPr>
          <w:p>
            <w:pPr>
              <w:pStyle w:val="style0"/>
              <w:ind w:left="84" w:right="12"/>
              <w:jc w:val="both"/>
              <w:rPr>
                <w:rFonts w:ascii="Times New Roman" w:cs="Times New Roman" w:hAnsi="Times New Roman"/>
                <w:szCs w:val="24"/>
              </w:rPr>
            </w:pPr>
          </w:p>
        </w:tc>
      </w:tr>
    </w:tbl>
    <w:p>
      <w:pPr>
        <w:pStyle w:val="style0"/>
        <w:spacing w:before="120" w:after="240" w:lineRule="auto" w:line="360"/>
        <w:jc w:val="center"/>
        <w:rPr>
          <w:rFonts w:ascii="Times New Roman" w:cs="Times New Roman" w:hAnsi="Times New Roman"/>
          <w:noProof/>
          <w:szCs w:val="24"/>
        </w:rPr>
      </w:pPr>
    </w:p>
    <w:p>
      <w:pPr>
        <w:pStyle w:val="style0"/>
        <w:spacing w:before="120" w:after="240" w:lineRule="auto" w:line="360"/>
        <w:jc w:val="center"/>
        <w:rPr>
          <w:rFonts w:ascii="Times New Roman" w:cs="Times New Roman" w:hAnsi="Times New Roman"/>
          <w:noProof/>
          <w:szCs w:val="24"/>
        </w:rPr>
      </w:pPr>
    </w:p>
    <w:p>
      <w:pPr>
        <w:pStyle w:val="style0"/>
        <w:spacing w:before="120" w:after="240" w:lineRule="auto" w:line="360"/>
        <w:jc w:val="center"/>
        <w:rPr>
          <w:rFonts w:ascii="Times New Roman" w:cs="Times New Roman" w:hAnsi="Times New Roman"/>
          <w:szCs w:val="24"/>
        </w:rPr>
      </w:pPr>
      <w:r>
        <w:rPr>
          <w:rFonts w:ascii="Times New Roman" w:cs="Times New Roman" w:hAnsi="Times New Roman"/>
          <w:noProof/>
          <w:szCs w:val="24"/>
        </w:rPr>
        <w:drawing>
          <wp:inline distL="0" distT="0" distB="0" distR="0">
            <wp:extent cx="3250242" cy="2622984"/>
            <wp:effectExtent l="0" t="0" r="7620" b="6350"/>
            <wp:docPr id="1026" name="Picture 2" descr="A diagram of different colored squares&#10;&#10;AI-generated content may be incorrec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3250242" cy="2622984"/>
                    </a:xfrm>
                    <a:prstGeom prst="rect"/>
                    <a:ln>
                      <a:noFill/>
                    </a:ln>
                  </pic:spPr>
                </pic:pic>
              </a:graphicData>
            </a:graphic>
          </wp:inline>
        </w:drawing>
      </w:r>
    </w:p>
    <w:p>
      <w:pPr>
        <w:pStyle w:val="style0"/>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Figure (1). SREBP 2 expression score before, after NB UVB phototherapy and control group.</w:t>
      </w:r>
    </w:p>
    <w:p>
      <w:pPr>
        <w:pStyle w:val="style0"/>
        <w:spacing w:before="120" w:after="240" w:lineRule="auto" w:line="360"/>
        <w:jc w:val="both"/>
        <w:rPr>
          <w:rFonts w:ascii="Times New Roman" w:cs="Times New Roman" w:hAnsi="Times New Roman"/>
          <w:b/>
          <w:bCs/>
          <w:szCs w:val="24"/>
        </w:rPr>
      </w:pPr>
    </w:p>
    <w:p>
      <w:pPr>
        <w:pStyle w:val="style0"/>
        <w:spacing w:before="120" w:after="240" w:lineRule="auto" w:line="360"/>
        <w:jc w:val="both"/>
        <w:rPr>
          <w:rFonts w:ascii="Times New Roman" w:cs="Times New Roman" w:hAnsi="Times New Roman"/>
          <w:b/>
          <w:bCs/>
          <w:szCs w:val="24"/>
        </w:rPr>
      </w:pPr>
    </w:p>
    <w:p>
      <w:pPr>
        <w:pStyle w:val="style0"/>
        <w:spacing w:before="120" w:after="240" w:lineRule="auto" w:line="360"/>
        <w:jc w:val="both"/>
        <w:rPr>
          <w:rFonts w:ascii="Times New Roman" w:cs="Times New Roman" w:hAnsi="Times New Roman"/>
          <w:szCs w:val="24"/>
        </w:rPr>
      </w:pPr>
      <w:r>
        <w:rPr>
          <w:rFonts w:ascii="Times New Roman" w:cs="Times New Roman" w:hAnsi="Times New Roman"/>
          <w:b/>
          <w:bCs/>
          <w:szCs w:val="24"/>
        </w:rPr>
        <w:t xml:space="preserve">Table (3) .IL-17 expression score before and after NB UVB phototherapy among psoriasis </w:t>
      </w:r>
      <w:r>
        <w:rPr>
          <w:rFonts w:ascii="Times New Roman" w:cs="Times New Roman" w:hAnsi="Times New Roman"/>
          <w:b/>
          <w:bCs/>
          <w:szCs w:val="24"/>
        </w:rPr>
        <w:t>group.№</w:t>
      </w:r>
      <w:r>
        <w:rPr>
          <w:rFonts w:ascii="Times New Roman" w:cs="Times New Roman" w:hAnsi="Times New Roman"/>
          <w:b/>
          <w:bCs/>
          <w:szCs w:val="24"/>
        </w:rPr>
        <w:t>,</w:t>
      </w:r>
      <w:r>
        <w:rPr>
          <w:rFonts w:ascii="Times New Roman" w:cs="Times New Roman" w:hAnsi="Times New Roman"/>
          <w:szCs w:val="24"/>
        </w:rPr>
        <w:t xml:space="preserve"> count; SD, standard deviation; min, minimum; max, maximum; MH, Marginal homogeneity test; Z`, Wilcoxon test; *, </w:t>
      </w:r>
      <w:r>
        <w:rPr>
          <w:rFonts w:ascii="Times New Roman" w:cs="Times New Roman" w:hAnsi="Times New Roman"/>
          <w:i/>
          <w:iCs/>
          <w:szCs w:val="24"/>
        </w:rPr>
        <w:t>p</w:t>
      </w:r>
      <w:r>
        <w:rPr>
          <w:rFonts w:ascii="Times New Roman" w:cs="Times New Roman" w:hAnsi="Times New Roman"/>
          <w:szCs w:val="24"/>
        </w:rPr>
        <w:t xml:space="preserve"> </w:t>
      </w:r>
      <w:r>
        <w:rPr>
          <w:rFonts w:ascii="Times New Roman" w:cs="Times New Roman" w:hAnsi="Times New Roman"/>
          <w:szCs w:val="24"/>
        </w:rPr>
        <w:t>&lt;0.05 is considered significant.</w:t>
      </w:r>
    </w:p>
    <w:tbl>
      <w:tblPr>
        <w:tblStyle w:val="style4116"/>
        <w:tblW w:w="5000" w:type="pct"/>
        <w:jc w:val="center"/>
        <w:tblBorders>
          <w:left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2270"/>
        <w:gridCol w:w="741"/>
        <w:gridCol w:w="1278"/>
        <w:gridCol w:w="1180"/>
        <w:gridCol w:w="1180"/>
        <w:gridCol w:w="831"/>
        <w:gridCol w:w="827"/>
      </w:tblGrid>
      <w:tr>
        <w:trPr>
          <w:trHeight w:val="20" w:hRule="atLeast"/>
          <w:jc w:val="center"/>
        </w:trPr>
        <w:tc>
          <w:tcPr>
            <w:tcW w:w="5000" w:type="pct"/>
            <w:gridSpan w:val="7"/>
            <w:tcBorders>
              <w:bottom w:val="nil"/>
            </w:tcBorders>
            <w:vAlign w:val="center"/>
          </w:tcPr>
          <w:p>
            <w:pPr>
              <w:pStyle w:val="style0"/>
              <w:jc w:val="both"/>
              <w:rPr>
                <w:rFonts w:ascii="Times New Roman" w:cs="Times New Roman" w:hAnsi="Times New Roman"/>
                <w:b/>
                <w:bCs/>
                <w:i/>
                <w:iCs/>
                <w:szCs w:val="24"/>
              </w:rPr>
            </w:pPr>
            <w:r>
              <w:rPr>
                <w:rFonts w:ascii="Times New Roman" w:cs="Times New Roman" w:hAnsi="Times New Roman"/>
                <w:b/>
                <w:bCs/>
                <w:kern w:val="0"/>
                <w:szCs w:val="24"/>
              </w:rPr>
              <w:t>IL-17A expression</w:t>
            </w:r>
          </w:p>
        </w:tc>
      </w:tr>
      <w:tr>
        <w:tblPrEx/>
        <w:trPr>
          <w:trHeight w:val="20" w:hRule="atLeast"/>
          <w:jc w:val="center"/>
        </w:trPr>
        <w:tc>
          <w:tcPr>
            <w:tcW w:w="1367" w:type="pct"/>
            <w:vMerge w:val="restart"/>
            <w:tcBorders>
              <w:top w:val="nil"/>
              <w:bottom w:val="nil"/>
            </w:tcBorders>
            <w:vAlign w:val="center"/>
          </w:tcPr>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tc>
        <w:tc>
          <w:tcPr>
            <w:tcW w:w="1215" w:type="pct"/>
            <w:gridSpan w:val="2"/>
            <w:tcBorders>
              <w:top w:val="nil"/>
              <w:bottom w:val="nil"/>
            </w:tcBorders>
            <w:vAlign w:val="center"/>
            <w:hideMark/>
          </w:tcPr>
          <w:p>
            <w:pPr>
              <w:pStyle w:val="style0"/>
              <w:jc w:val="both"/>
              <w:rPr>
                <w:rFonts w:ascii="Times New Roman" w:cs="Times New Roman" w:hAnsi="Times New Roman"/>
                <w:b/>
                <w:bCs/>
                <w:kern w:val="0"/>
                <w:szCs w:val="24"/>
              </w:rPr>
            </w:pPr>
            <w:r>
              <w:rPr>
                <w:rFonts w:ascii="Times New Roman" w:cs="Times New Roman" w:hAnsi="Times New Roman"/>
                <w:b/>
                <w:bCs/>
                <w:kern w:val="0"/>
                <w:szCs w:val="24"/>
              </w:rPr>
              <w:t>Before NB UVB</w:t>
            </w:r>
          </w:p>
          <w:p>
            <w:pPr>
              <w:pStyle w:val="style0"/>
              <w:jc w:val="both"/>
              <w:rPr>
                <w:rFonts w:ascii="Times New Roman" w:cs="Times New Roman" w:hAnsi="Times New Roman"/>
                <w:b/>
                <w:bCs/>
                <w:szCs w:val="24"/>
              </w:rPr>
            </w:pPr>
            <w:r>
              <w:rPr>
                <w:rFonts w:ascii="Times New Roman" w:cs="Times New Roman" w:hAnsi="Times New Roman"/>
                <w:b/>
                <w:bCs/>
                <w:kern w:val="0"/>
                <w:szCs w:val="24"/>
              </w:rPr>
              <w:t xml:space="preserve"> Phototherapy</w:t>
            </w:r>
          </w:p>
        </w:tc>
        <w:tc>
          <w:tcPr>
            <w:tcW w:w="1420" w:type="pct"/>
            <w:gridSpan w:val="2"/>
            <w:tcBorders>
              <w:top w:val="nil"/>
              <w:bottom w:val="nil"/>
            </w:tcBorders>
            <w:vAlign w:val="center"/>
          </w:tcPr>
          <w:p>
            <w:pPr>
              <w:pStyle w:val="style0"/>
              <w:jc w:val="both"/>
              <w:rPr>
                <w:rFonts w:ascii="Times New Roman" w:cs="Times New Roman" w:hAnsi="Times New Roman"/>
                <w:b/>
                <w:bCs/>
                <w:kern w:val="0"/>
                <w:szCs w:val="24"/>
              </w:rPr>
            </w:pPr>
            <w:r>
              <w:rPr>
                <w:rFonts w:ascii="Times New Roman" w:cs="Times New Roman" w:hAnsi="Times New Roman"/>
                <w:b/>
                <w:bCs/>
                <w:kern w:val="0"/>
                <w:szCs w:val="24"/>
              </w:rPr>
              <w:t xml:space="preserve">After NB UVB </w:t>
            </w:r>
          </w:p>
          <w:p>
            <w:pPr>
              <w:pStyle w:val="style0"/>
              <w:jc w:val="both"/>
              <w:rPr>
                <w:rFonts w:ascii="Times New Roman" w:cs="Times New Roman" w:hAnsi="Times New Roman"/>
                <w:b/>
                <w:bCs/>
                <w:szCs w:val="24"/>
              </w:rPr>
            </w:pPr>
            <w:r>
              <w:rPr>
                <w:rFonts w:ascii="Times New Roman" w:cs="Times New Roman" w:hAnsi="Times New Roman"/>
                <w:b/>
                <w:bCs/>
                <w:kern w:val="0"/>
                <w:szCs w:val="24"/>
              </w:rPr>
              <w:t>P</w:t>
            </w:r>
            <w:r>
              <w:rPr>
                <w:rFonts w:ascii="Times New Roman" w:cs="Times New Roman" w:hAnsi="Times New Roman"/>
                <w:b/>
                <w:bCs/>
                <w:kern w:val="0"/>
                <w:szCs w:val="24"/>
              </w:rPr>
              <w:t>hototherapy</w:t>
            </w:r>
          </w:p>
        </w:tc>
        <w:tc>
          <w:tcPr>
            <w:tcW w:w="500" w:type="pct"/>
            <w:vMerge w:val="restart"/>
            <w:tcBorders>
              <w:top w:val="nil"/>
              <w:bottom w:val="nil"/>
            </w:tcBorders>
            <w:vAlign w:val="center"/>
            <w:hideMark/>
          </w:tcPr>
          <w:p>
            <w:pPr>
              <w:pStyle w:val="style0"/>
              <w:jc w:val="both"/>
              <w:rPr>
                <w:rFonts w:ascii="Times New Roman" w:cs="Times New Roman" w:hAnsi="Times New Roman"/>
                <w:b/>
                <w:bCs/>
                <w:szCs w:val="24"/>
              </w:rPr>
            </w:pPr>
            <w:r>
              <w:rPr>
                <w:rFonts w:ascii="Times New Roman" w:cs="Times New Roman" w:hAnsi="Times New Roman"/>
                <w:b/>
                <w:bCs/>
                <w:szCs w:val="24"/>
              </w:rPr>
              <w:t>Test</w:t>
            </w:r>
          </w:p>
        </w:tc>
        <w:tc>
          <w:tcPr>
            <w:tcW w:w="498" w:type="pct"/>
            <w:vMerge w:val="restart"/>
            <w:tcBorders>
              <w:top w:val="nil"/>
              <w:bottom w:val="nil"/>
            </w:tcBorders>
            <w:vAlign w:val="center"/>
            <w:hideMark/>
          </w:tcPr>
          <w:p>
            <w:pPr>
              <w:pStyle w:val="style0"/>
              <w:jc w:val="both"/>
              <w:rPr>
                <w:rFonts w:ascii="Times New Roman" w:cs="Times New Roman" w:hAnsi="Times New Roman"/>
                <w:b/>
                <w:bCs/>
                <w:i/>
                <w:iCs/>
                <w:szCs w:val="24"/>
              </w:rPr>
            </w:pPr>
            <w:r>
              <w:rPr>
                <w:rFonts w:ascii="Times New Roman" w:cs="Times New Roman" w:hAnsi="Times New Roman"/>
                <w:b/>
                <w:bCs/>
                <w:i/>
                <w:iCs/>
                <w:szCs w:val="24"/>
              </w:rPr>
              <w:t>P</w:t>
            </w:r>
          </w:p>
        </w:tc>
      </w:tr>
      <w:tr>
        <w:tblPrEx/>
        <w:trPr>
          <w:trHeight w:val="20" w:hRule="atLeast"/>
          <w:jc w:val="center"/>
        </w:trPr>
        <w:tc>
          <w:tcPr>
            <w:tcW w:w="1367" w:type="pct"/>
            <w:vMerge w:val="continue"/>
            <w:tcBorders>
              <w:top w:val="nil"/>
              <w:bottom w:val="single" w:sz="4" w:space="0" w:color="auto"/>
            </w:tcBorders>
            <w:vAlign w:val="center"/>
            <w:hideMark/>
          </w:tcPr>
          <w:p>
            <w:pPr>
              <w:pStyle w:val="style0"/>
              <w:jc w:val="both"/>
              <w:rPr>
                <w:rFonts w:ascii="Times New Roman" w:cs="Times New Roman" w:hAnsi="Times New Roman"/>
                <w:szCs w:val="24"/>
              </w:rPr>
            </w:pPr>
          </w:p>
        </w:tc>
        <w:tc>
          <w:tcPr>
            <w:tcW w:w="446" w:type="pct"/>
            <w:tcBorders>
              <w:top w:val="nil"/>
              <w:bottom w:val="single" w:sz="4" w:space="0" w:color="auto"/>
            </w:tcBorders>
            <w:vAlign w:val="center"/>
            <w:hideMark/>
          </w:tcPr>
          <w:p>
            <w:pPr>
              <w:pStyle w:val="style0"/>
              <w:jc w:val="both"/>
              <w:rPr>
                <w:rFonts w:ascii="Times New Roman" w:cs="Times New Roman" w:hAnsi="Times New Roman"/>
                <w:b/>
                <w:bCs/>
                <w:szCs w:val="24"/>
              </w:rPr>
            </w:pPr>
            <w:r>
              <w:rPr>
                <w:rFonts w:ascii="Times New Roman" w:cs="Times New Roman" w:hAnsi="Times New Roman"/>
                <w:b/>
                <w:bCs/>
                <w:szCs w:val="24"/>
              </w:rPr>
              <w:t>№</w:t>
            </w:r>
          </w:p>
        </w:tc>
        <w:tc>
          <w:tcPr>
            <w:tcW w:w="769" w:type="pct"/>
            <w:tcBorders>
              <w:top w:val="nil"/>
              <w:bottom w:val="single" w:sz="4" w:space="0" w:color="auto"/>
            </w:tcBorders>
            <w:vAlign w:val="center"/>
            <w:hideMark/>
          </w:tcPr>
          <w:p>
            <w:pPr>
              <w:pStyle w:val="style0"/>
              <w:jc w:val="both"/>
              <w:rPr>
                <w:rFonts w:ascii="Times New Roman" w:cs="Times New Roman" w:hAnsi="Times New Roman"/>
                <w:b/>
                <w:bCs/>
                <w:szCs w:val="24"/>
              </w:rPr>
            </w:pPr>
            <w:r>
              <w:rPr>
                <w:rFonts w:ascii="Times New Roman" w:cs="Times New Roman" w:hAnsi="Times New Roman"/>
                <w:b/>
                <w:bCs/>
                <w:szCs w:val="24"/>
              </w:rPr>
              <w:t>%</w:t>
            </w:r>
          </w:p>
        </w:tc>
        <w:tc>
          <w:tcPr>
            <w:tcW w:w="710" w:type="pct"/>
            <w:tcBorders>
              <w:top w:val="nil"/>
              <w:bottom w:val="single" w:sz="4" w:space="0" w:color="auto"/>
            </w:tcBorders>
            <w:vAlign w:val="center"/>
          </w:tcPr>
          <w:p>
            <w:pPr>
              <w:pStyle w:val="style0"/>
              <w:jc w:val="both"/>
              <w:rPr>
                <w:rFonts w:ascii="Times New Roman" w:cs="Times New Roman" w:hAnsi="Times New Roman"/>
                <w:b/>
                <w:bCs/>
                <w:szCs w:val="24"/>
              </w:rPr>
            </w:pPr>
            <w:r>
              <w:rPr>
                <w:rFonts w:ascii="Times New Roman" w:cs="Times New Roman" w:hAnsi="Times New Roman"/>
                <w:b/>
                <w:bCs/>
                <w:szCs w:val="24"/>
              </w:rPr>
              <w:t>№</w:t>
            </w:r>
          </w:p>
        </w:tc>
        <w:tc>
          <w:tcPr>
            <w:tcW w:w="710" w:type="pct"/>
            <w:tcBorders>
              <w:top w:val="nil"/>
              <w:bottom w:val="single" w:sz="4" w:space="0" w:color="auto"/>
            </w:tcBorders>
            <w:vAlign w:val="center"/>
          </w:tcPr>
          <w:p>
            <w:pPr>
              <w:pStyle w:val="style0"/>
              <w:jc w:val="both"/>
              <w:rPr>
                <w:rFonts w:ascii="Times New Roman" w:cs="Times New Roman" w:hAnsi="Times New Roman"/>
                <w:b/>
                <w:bCs/>
                <w:szCs w:val="24"/>
              </w:rPr>
            </w:pPr>
            <w:r>
              <w:rPr>
                <w:rFonts w:ascii="Times New Roman" w:cs="Times New Roman" w:hAnsi="Times New Roman"/>
                <w:b/>
                <w:bCs/>
                <w:szCs w:val="24"/>
              </w:rPr>
              <w:t>%</w:t>
            </w:r>
          </w:p>
        </w:tc>
        <w:tc>
          <w:tcPr>
            <w:tcW w:w="500" w:type="pct"/>
            <w:vMerge w:val="continue"/>
            <w:tcBorders>
              <w:top w:val="nil"/>
              <w:bottom w:val="single" w:sz="4" w:space="0" w:color="auto"/>
            </w:tcBorders>
            <w:vAlign w:val="center"/>
            <w:hideMark/>
          </w:tcPr>
          <w:p>
            <w:pPr>
              <w:pStyle w:val="style0"/>
              <w:jc w:val="both"/>
              <w:rPr>
                <w:rFonts w:ascii="Times New Roman" w:cs="Times New Roman" w:hAnsi="Times New Roman"/>
                <w:b/>
                <w:bCs/>
                <w:szCs w:val="24"/>
              </w:rPr>
            </w:pPr>
          </w:p>
        </w:tc>
        <w:tc>
          <w:tcPr>
            <w:tcW w:w="498" w:type="pct"/>
            <w:vMerge w:val="continue"/>
            <w:tcBorders>
              <w:top w:val="nil"/>
              <w:bottom w:val="single" w:sz="4" w:space="0" w:color="auto"/>
            </w:tcBorders>
            <w:vAlign w:val="center"/>
            <w:hideMark/>
          </w:tcPr>
          <w:p>
            <w:pPr>
              <w:pStyle w:val="style0"/>
              <w:jc w:val="both"/>
              <w:rPr>
                <w:rFonts w:ascii="Times New Roman" w:cs="Times New Roman" w:hAnsi="Times New Roman"/>
                <w:b/>
                <w:bCs/>
                <w:szCs w:val="24"/>
              </w:rPr>
            </w:pPr>
          </w:p>
        </w:tc>
      </w:tr>
      <w:tr>
        <w:tblPrEx/>
        <w:trPr>
          <w:trHeight w:val="20" w:hRule="atLeast"/>
          <w:jc w:val="center"/>
        </w:trPr>
        <w:tc>
          <w:tcPr>
            <w:tcW w:w="1367" w:type="pct"/>
            <w:tcBorders>
              <w:top w:val="single" w:sz="4" w:space="0" w:color="auto"/>
            </w:tcBorders>
          </w:tcPr>
          <w:p>
            <w:pPr>
              <w:pStyle w:val="style0"/>
              <w:jc w:val="both"/>
              <w:rPr>
                <w:rFonts w:ascii="Times New Roman" w:cs="Times New Roman" w:hAnsi="Times New Roman"/>
                <w:b/>
                <w:bCs/>
                <w:kern w:val="0"/>
                <w:szCs w:val="24"/>
              </w:rPr>
            </w:pPr>
            <w:r>
              <w:rPr>
                <w:rFonts w:ascii="Times New Roman" w:cs="Times New Roman" w:hAnsi="Times New Roman"/>
                <w:b/>
                <w:bCs/>
                <w:kern w:val="0"/>
                <w:szCs w:val="24"/>
              </w:rPr>
              <w:t xml:space="preserve">IL-17A expression </w:t>
            </w:r>
          </w:p>
        </w:tc>
        <w:tc>
          <w:tcPr>
            <w:tcW w:w="446" w:type="pct"/>
            <w:tcBorders>
              <w:top w:val="single" w:sz="4" w:space="0" w:color="auto"/>
            </w:tcBorders>
          </w:tcPr>
          <w:p>
            <w:pPr>
              <w:pStyle w:val="style0"/>
              <w:jc w:val="both"/>
              <w:rPr>
                <w:rFonts w:ascii="Times New Roman" w:cs="Times New Roman" w:hAnsi="Times New Roman"/>
                <w:kern w:val="0"/>
                <w:szCs w:val="24"/>
              </w:rPr>
            </w:pPr>
          </w:p>
        </w:tc>
        <w:tc>
          <w:tcPr>
            <w:tcW w:w="769" w:type="pct"/>
            <w:tcBorders>
              <w:top w:val="single" w:sz="4" w:space="0" w:color="auto"/>
            </w:tcBorders>
          </w:tcPr>
          <w:p>
            <w:pPr>
              <w:pStyle w:val="style0"/>
              <w:jc w:val="both"/>
              <w:rPr>
                <w:rFonts w:ascii="Times New Roman" w:cs="Times New Roman" w:hAnsi="Times New Roman"/>
                <w:kern w:val="0"/>
                <w:szCs w:val="24"/>
              </w:rPr>
            </w:pPr>
          </w:p>
        </w:tc>
        <w:tc>
          <w:tcPr>
            <w:tcW w:w="710" w:type="pct"/>
            <w:tcBorders>
              <w:top w:val="single" w:sz="4" w:space="0" w:color="auto"/>
            </w:tcBorders>
          </w:tcPr>
          <w:p>
            <w:pPr>
              <w:pStyle w:val="style0"/>
              <w:jc w:val="both"/>
              <w:rPr>
                <w:rFonts w:ascii="Times New Roman" w:cs="Times New Roman" w:hAnsi="Times New Roman"/>
                <w:kern w:val="0"/>
                <w:szCs w:val="24"/>
              </w:rPr>
            </w:pPr>
          </w:p>
        </w:tc>
        <w:tc>
          <w:tcPr>
            <w:tcW w:w="710" w:type="pct"/>
            <w:tcBorders>
              <w:top w:val="single" w:sz="4" w:space="0" w:color="auto"/>
            </w:tcBorders>
          </w:tcPr>
          <w:p>
            <w:pPr>
              <w:pStyle w:val="style0"/>
              <w:jc w:val="both"/>
              <w:rPr>
                <w:rFonts w:ascii="Times New Roman" w:cs="Times New Roman" w:hAnsi="Times New Roman"/>
                <w:kern w:val="0"/>
                <w:szCs w:val="24"/>
              </w:rPr>
            </w:pPr>
          </w:p>
        </w:tc>
        <w:tc>
          <w:tcPr>
            <w:tcW w:w="500" w:type="pct"/>
            <w:tcBorders>
              <w:top w:val="single" w:sz="4" w:space="0" w:color="auto"/>
            </w:tcBorders>
          </w:tcPr>
          <w:p>
            <w:pPr>
              <w:pStyle w:val="style0"/>
              <w:jc w:val="both"/>
              <w:rPr>
                <w:rFonts w:ascii="Times New Roman" w:cs="Times New Roman" w:hAnsi="Times New Roman"/>
                <w:kern w:val="0"/>
                <w:szCs w:val="24"/>
              </w:rPr>
            </w:pPr>
          </w:p>
        </w:tc>
        <w:tc>
          <w:tcPr>
            <w:tcW w:w="498" w:type="pct"/>
            <w:tcBorders>
              <w:top w:val="single" w:sz="4" w:space="0" w:color="auto"/>
            </w:tcBorders>
            <w:vAlign w:val="center"/>
          </w:tcPr>
          <w:p>
            <w:pPr>
              <w:pStyle w:val="style0"/>
              <w:jc w:val="both"/>
              <w:rPr>
                <w:rFonts w:ascii="Times New Roman" w:cs="Times New Roman" w:hAnsi="Times New Roman"/>
                <w:szCs w:val="24"/>
              </w:rPr>
            </w:pPr>
          </w:p>
        </w:tc>
      </w:tr>
      <w:tr>
        <w:tblPrEx/>
        <w:trPr>
          <w:trHeight w:val="20" w:hRule="atLeast"/>
          <w:jc w:val="center"/>
        </w:trPr>
        <w:tc>
          <w:tcPr>
            <w:tcW w:w="1367" w:type="pct"/>
            <w:tcBorders/>
          </w:tcPr>
          <w:p>
            <w:pPr>
              <w:pStyle w:val="style0"/>
              <w:jc w:val="both"/>
              <w:rPr>
                <w:rFonts w:ascii="Times New Roman" w:cs="Times New Roman" w:hAnsi="Times New Roman"/>
                <w:kern w:val="0"/>
                <w:szCs w:val="24"/>
              </w:rPr>
            </w:pPr>
            <w:r>
              <w:rPr>
                <w:rFonts w:ascii="Times New Roman" w:cs="Times New Roman" w:hAnsi="Times New Roman"/>
                <w:b/>
                <w:bCs/>
                <w:kern w:val="0"/>
                <w:szCs w:val="24"/>
              </w:rPr>
              <w:t>0</w:t>
            </w:r>
          </w:p>
        </w:tc>
        <w:tc>
          <w:tcPr>
            <w:tcW w:w="446"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0</w:t>
            </w:r>
          </w:p>
        </w:tc>
        <w:tc>
          <w:tcPr>
            <w:tcW w:w="769"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0.0%</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2</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10.0%</w:t>
            </w:r>
          </w:p>
        </w:tc>
        <w:tc>
          <w:tcPr>
            <w:tcW w:w="500" w:type="pct"/>
            <w:vMerge w:val="restart"/>
            <w:tcBorders/>
            <w:vAlign w:val="center"/>
          </w:tcPr>
          <w:p>
            <w:pPr>
              <w:pStyle w:val="style0"/>
              <w:jc w:val="both"/>
              <w:rPr>
                <w:rFonts w:ascii="Times New Roman" w:cs="Times New Roman" w:hAnsi="Times New Roman"/>
                <w:szCs w:val="24"/>
              </w:rPr>
            </w:pPr>
            <w:r>
              <w:rPr>
                <w:rFonts w:ascii="Times New Roman" w:cs="Times New Roman" w:hAnsi="Times New Roman"/>
                <w:szCs w:val="24"/>
              </w:rPr>
              <w:t>MH=</w:t>
            </w:r>
          </w:p>
          <w:p>
            <w:pPr>
              <w:pStyle w:val="style0"/>
              <w:jc w:val="both"/>
              <w:rPr>
                <w:rFonts w:ascii="Times New Roman" w:cs="Times New Roman" w:hAnsi="Times New Roman"/>
                <w:kern w:val="0"/>
                <w:szCs w:val="24"/>
              </w:rPr>
            </w:pPr>
            <w:r>
              <w:rPr>
                <w:rFonts w:ascii="Times New Roman" w:cs="Times New Roman" w:hAnsi="Times New Roman"/>
                <w:kern w:val="0"/>
                <w:szCs w:val="24"/>
              </w:rPr>
              <w:t>5.0</w:t>
            </w:r>
          </w:p>
        </w:tc>
        <w:tc>
          <w:tcPr>
            <w:tcW w:w="498" w:type="pct"/>
            <w:vMerge w:val="restart"/>
            <w:tcBorders/>
            <w:vAlign w:val="center"/>
          </w:tcPr>
          <w:p>
            <w:pPr>
              <w:pStyle w:val="style0"/>
              <w:jc w:val="both"/>
              <w:rPr>
                <w:rFonts w:ascii="Times New Roman" w:cs="Times New Roman" w:hAnsi="Times New Roman"/>
                <w:szCs w:val="24"/>
              </w:rPr>
            </w:pPr>
            <w:r>
              <w:rPr>
                <w:rFonts w:ascii="Times New Roman" w:cs="Times New Roman" w:hAnsi="Times New Roman"/>
                <w:szCs w:val="24"/>
              </w:rPr>
              <w:t>0.002*</w:t>
            </w:r>
          </w:p>
        </w:tc>
      </w:tr>
      <w:tr>
        <w:tblPrEx/>
        <w:trPr>
          <w:trHeight w:val="20" w:hRule="atLeast"/>
          <w:jc w:val="center"/>
        </w:trPr>
        <w:tc>
          <w:tcPr>
            <w:tcW w:w="1367" w:type="pct"/>
            <w:tcBorders/>
          </w:tcPr>
          <w:p>
            <w:pPr>
              <w:pStyle w:val="style0"/>
              <w:jc w:val="both"/>
              <w:rPr>
                <w:rFonts w:ascii="Times New Roman" w:cs="Times New Roman" w:hAnsi="Times New Roman"/>
                <w:kern w:val="0"/>
                <w:szCs w:val="24"/>
              </w:rPr>
            </w:pPr>
            <w:r>
              <w:rPr>
                <w:rFonts w:ascii="Times New Roman" w:cs="Times New Roman" w:hAnsi="Times New Roman"/>
                <w:b/>
                <w:bCs/>
                <w:kern w:val="0"/>
                <w:szCs w:val="24"/>
              </w:rPr>
              <w:t>1</w:t>
            </w:r>
          </w:p>
        </w:tc>
        <w:tc>
          <w:tcPr>
            <w:tcW w:w="446"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3</w:t>
            </w:r>
          </w:p>
        </w:tc>
        <w:tc>
          <w:tcPr>
            <w:tcW w:w="769"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15.0%</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10</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50.0%</w:t>
            </w:r>
          </w:p>
        </w:tc>
        <w:tc>
          <w:tcPr>
            <w:tcW w:w="500" w:type="pct"/>
            <w:vMerge w:val="continue"/>
            <w:tcBorders/>
          </w:tcPr>
          <w:p>
            <w:pPr>
              <w:pStyle w:val="style0"/>
              <w:jc w:val="both"/>
              <w:rPr>
                <w:rFonts w:ascii="Times New Roman" w:cs="Times New Roman" w:hAnsi="Times New Roman"/>
                <w:kern w:val="0"/>
                <w:szCs w:val="24"/>
              </w:rPr>
            </w:pPr>
          </w:p>
        </w:tc>
        <w:tc>
          <w:tcPr>
            <w:tcW w:w="498" w:type="pct"/>
            <w:vMerge w:val="continue"/>
            <w:tcBorders/>
            <w:vAlign w:val="center"/>
          </w:tcPr>
          <w:p>
            <w:pPr>
              <w:pStyle w:val="style0"/>
              <w:jc w:val="both"/>
              <w:rPr>
                <w:rFonts w:ascii="Times New Roman" w:cs="Times New Roman" w:hAnsi="Times New Roman"/>
                <w:szCs w:val="24"/>
              </w:rPr>
            </w:pPr>
          </w:p>
        </w:tc>
      </w:tr>
      <w:tr>
        <w:tblPrEx/>
        <w:trPr>
          <w:trHeight w:val="20" w:hRule="atLeast"/>
          <w:jc w:val="center"/>
        </w:trPr>
        <w:tc>
          <w:tcPr>
            <w:tcW w:w="1367" w:type="pct"/>
            <w:tcBorders/>
          </w:tcPr>
          <w:p>
            <w:pPr>
              <w:pStyle w:val="style0"/>
              <w:jc w:val="both"/>
              <w:rPr>
                <w:rFonts w:ascii="Times New Roman" w:cs="Times New Roman" w:hAnsi="Times New Roman"/>
                <w:kern w:val="0"/>
                <w:szCs w:val="24"/>
              </w:rPr>
            </w:pPr>
            <w:r>
              <w:rPr>
                <w:rFonts w:ascii="Times New Roman" w:cs="Times New Roman" w:hAnsi="Times New Roman"/>
                <w:b/>
                <w:bCs/>
                <w:kern w:val="0"/>
                <w:szCs w:val="24"/>
              </w:rPr>
              <w:t>2</w:t>
            </w:r>
          </w:p>
        </w:tc>
        <w:tc>
          <w:tcPr>
            <w:tcW w:w="446"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6</w:t>
            </w:r>
          </w:p>
        </w:tc>
        <w:tc>
          <w:tcPr>
            <w:tcW w:w="769"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30.0%</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2</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10.0%</w:t>
            </w:r>
          </w:p>
        </w:tc>
        <w:tc>
          <w:tcPr>
            <w:tcW w:w="500" w:type="pct"/>
            <w:vMerge w:val="continue"/>
            <w:tcBorders/>
          </w:tcPr>
          <w:p>
            <w:pPr>
              <w:pStyle w:val="style0"/>
              <w:jc w:val="both"/>
              <w:rPr>
                <w:rFonts w:ascii="Times New Roman" w:cs="Times New Roman" w:hAnsi="Times New Roman"/>
                <w:kern w:val="0"/>
                <w:szCs w:val="24"/>
              </w:rPr>
            </w:pPr>
          </w:p>
        </w:tc>
        <w:tc>
          <w:tcPr>
            <w:tcW w:w="498" w:type="pct"/>
            <w:vMerge w:val="continue"/>
            <w:tcBorders/>
            <w:vAlign w:val="center"/>
          </w:tcPr>
          <w:p>
            <w:pPr>
              <w:pStyle w:val="style0"/>
              <w:jc w:val="both"/>
              <w:rPr>
                <w:rFonts w:ascii="Times New Roman" w:cs="Times New Roman" w:hAnsi="Times New Roman"/>
                <w:szCs w:val="24"/>
              </w:rPr>
            </w:pPr>
          </w:p>
        </w:tc>
      </w:tr>
      <w:tr>
        <w:tblPrEx/>
        <w:trPr>
          <w:trHeight w:val="20" w:hRule="atLeast"/>
          <w:jc w:val="center"/>
        </w:trPr>
        <w:tc>
          <w:tcPr>
            <w:tcW w:w="1367" w:type="pct"/>
            <w:tcBorders/>
          </w:tcPr>
          <w:p>
            <w:pPr>
              <w:pStyle w:val="style0"/>
              <w:jc w:val="both"/>
              <w:rPr>
                <w:rFonts w:ascii="Times New Roman" w:cs="Times New Roman" w:hAnsi="Times New Roman"/>
                <w:kern w:val="0"/>
                <w:szCs w:val="24"/>
              </w:rPr>
            </w:pPr>
            <w:r>
              <w:rPr>
                <w:rFonts w:ascii="Times New Roman" w:cs="Times New Roman" w:hAnsi="Times New Roman"/>
                <w:b/>
                <w:bCs/>
                <w:kern w:val="0"/>
                <w:szCs w:val="24"/>
              </w:rPr>
              <w:t>3</w:t>
            </w:r>
          </w:p>
        </w:tc>
        <w:tc>
          <w:tcPr>
            <w:tcW w:w="446"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7</w:t>
            </w:r>
          </w:p>
        </w:tc>
        <w:tc>
          <w:tcPr>
            <w:tcW w:w="769"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35.0%</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3</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15.0%</w:t>
            </w:r>
          </w:p>
        </w:tc>
        <w:tc>
          <w:tcPr>
            <w:tcW w:w="500" w:type="pct"/>
            <w:vMerge w:val="continue"/>
            <w:tcBorders/>
          </w:tcPr>
          <w:p>
            <w:pPr>
              <w:pStyle w:val="style0"/>
              <w:jc w:val="both"/>
              <w:rPr>
                <w:rFonts w:ascii="Times New Roman" w:cs="Times New Roman" w:hAnsi="Times New Roman"/>
                <w:kern w:val="0"/>
                <w:szCs w:val="24"/>
              </w:rPr>
            </w:pPr>
          </w:p>
        </w:tc>
        <w:tc>
          <w:tcPr>
            <w:tcW w:w="498" w:type="pct"/>
            <w:vMerge w:val="continue"/>
            <w:tcBorders/>
            <w:vAlign w:val="center"/>
          </w:tcPr>
          <w:p>
            <w:pPr>
              <w:pStyle w:val="style0"/>
              <w:jc w:val="both"/>
              <w:rPr>
                <w:rFonts w:ascii="Times New Roman" w:cs="Times New Roman" w:hAnsi="Times New Roman"/>
                <w:szCs w:val="24"/>
              </w:rPr>
            </w:pPr>
          </w:p>
        </w:tc>
      </w:tr>
      <w:tr>
        <w:tblPrEx/>
        <w:trPr>
          <w:trHeight w:val="20" w:hRule="atLeast"/>
          <w:jc w:val="center"/>
        </w:trPr>
        <w:tc>
          <w:tcPr>
            <w:tcW w:w="1367" w:type="pct"/>
            <w:tcBorders/>
          </w:tcPr>
          <w:p>
            <w:pPr>
              <w:pStyle w:val="style0"/>
              <w:jc w:val="both"/>
              <w:rPr>
                <w:rFonts w:ascii="Times New Roman" w:cs="Times New Roman" w:hAnsi="Times New Roman"/>
                <w:kern w:val="0"/>
                <w:szCs w:val="24"/>
              </w:rPr>
            </w:pPr>
            <w:r>
              <w:rPr>
                <w:rFonts w:ascii="Times New Roman" w:cs="Times New Roman" w:hAnsi="Times New Roman"/>
                <w:b/>
                <w:bCs/>
                <w:kern w:val="0"/>
                <w:szCs w:val="24"/>
              </w:rPr>
              <w:t>4</w:t>
            </w:r>
          </w:p>
        </w:tc>
        <w:tc>
          <w:tcPr>
            <w:tcW w:w="446"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4</w:t>
            </w:r>
          </w:p>
        </w:tc>
        <w:tc>
          <w:tcPr>
            <w:tcW w:w="769"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20.0%</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3</w:t>
            </w:r>
          </w:p>
        </w:tc>
        <w:tc>
          <w:tcPr>
            <w:tcW w:w="710" w:type="pct"/>
            <w:tcBorders/>
          </w:tcPr>
          <w:p>
            <w:pPr>
              <w:pStyle w:val="style0"/>
              <w:jc w:val="both"/>
              <w:rPr>
                <w:rFonts w:ascii="Times New Roman" w:cs="Times New Roman" w:hAnsi="Times New Roman"/>
                <w:kern w:val="0"/>
                <w:szCs w:val="24"/>
              </w:rPr>
            </w:pPr>
            <w:r>
              <w:rPr>
                <w:rFonts w:ascii="Times New Roman" w:cs="Times New Roman" w:hAnsi="Times New Roman"/>
                <w:kern w:val="0"/>
                <w:szCs w:val="24"/>
              </w:rPr>
              <w:t>15.0%</w:t>
            </w:r>
          </w:p>
        </w:tc>
        <w:tc>
          <w:tcPr>
            <w:tcW w:w="500" w:type="pct"/>
            <w:vMerge w:val="continue"/>
            <w:tcBorders/>
          </w:tcPr>
          <w:p>
            <w:pPr>
              <w:pStyle w:val="style0"/>
              <w:jc w:val="both"/>
              <w:rPr>
                <w:rFonts w:ascii="Times New Roman" w:cs="Times New Roman" w:hAnsi="Times New Roman"/>
                <w:kern w:val="0"/>
                <w:szCs w:val="24"/>
              </w:rPr>
            </w:pPr>
          </w:p>
        </w:tc>
        <w:tc>
          <w:tcPr>
            <w:tcW w:w="498" w:type="pct"/>
            <w:vMerge w:val="continue"/>
            <w:tcBorders/>
            <w:vAlign w:val="center"/>
          </w:tcPr>
          <w:p>
            <w:pPr>
              <w:pStyle w:val="style0"/>
              <w:jc w:val="both"/>
              <w:rPr>
                <w:rFonts w:ascii="Times New Roman" w:cs="Times New Roman" w:hAnsi="Times New Roman"/>
                <w:szCs w:val="24"/>
              </w:rPr>
            </w:pPr>
          </w:p>
        </w:tc>
      </w:tr>
      <w:tr>
        <w:tblPrEx/>
        <w:trPr>
          <w:trHeight w:val="20" w:hRule="atLeast"/>
          <w:jc w:val="center"/>
        </w:trPr>
        <w:tc>
          <w:tcPr>
            <w:tcW w:w="1367" w:type="pct"/>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Mean ± SD</w:t>
            </w:r>
          </w:p>
        </w:tc>
        <w:tc>
          <w:tcPr>
            <w:tcW w:w="1215" w:type="pct"/>
            <w:gridSpan w:val="2"/>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2.6±0.99</w:t>
            </w:r>
          </w:p>
        </w:tc>
        <w:tc>
          <w:tcPr>
            <w:tcW w:w="1420" w:type="pct"/>
            <w:gridSpan w:val="2"/>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1.75±1.29</w:t>
            </w:r>
          </w:p>
        </w:tc>
        <w:tc>
          <w:tcPr>
            <w:tcW w:w="500" w:type="pct"/>
            <w:vMerge w:val="restart"/>
            <w:tcBorders/>
            <w:vAlign w:val="center"/>
          </w:tcPr>
          <w:p>
            <w:pPr>
              <w:pStyle w:val="style0"/>
              <w:jc w:val="both"/>
              <w:rPr>
                <w:rFonts w:ascii="Times New Roman" w:cs="Times New Roman" w:hAnsi="Times New Roman"/>
                <w:kern w:val="0"/>
                <w:szCs w:val="24"/>
              </w:rPr>
            </w:pPr>
            <w:r>
              <w:rPr>
                <w:rFonts w:ascii="Times New Roman" w:cs="Times New Roman" w:hAnsi="Times New Roman"/>
                <w:kern w:val="0"/>
                <w:szCs w:val="24"/>
              </w:rPr>
              <w:t>Z`=</w:t>
            </w:r>
          </w:p>
          <w:p>
            <w:pPr>
              <w:pStyle w:val="style0"/>
              <w:jc w:val="both"/>
              <w:rPr>
                <w:rFonts w:ascii="Times New Roman" w:cs="Times New Roman" w:hAnsi="Times New Roman"/>
                <w:kern w:val="0"/>
                <w:szCs w:val="24"/>
              </w:rPr>
            </w:pPr>
            <w:r>
              <w:rPr>
                <w:rFonts w:ascii="Times New Roman" w:cs="Times New Roman" w:hAnsi="Times New Roman"/>
                <w:kern w:val="0"/>
                <w:szCs w:val="24"/>
              </w:rPr>
              <w:t>3.019</w:t>
            </w:r>
          </w:p>
        </w:tc>
        <w:tc>
          <w:tcPr>
            <w:tcW w:w="498" w:type="pct"/>
            <w:vMerge w:val="restart"/>
            <w:tcBorders/>
            <w:vAlign w:val="center"/>
          </w:tcPr>
          <w:p>
            <w:pPr>
              <w:pStyle w:val="style0"/>
              <w:jc w:val="both"/>
              <w:rPr>
                <w:rFonts w:ascii="Times New Roman" w:cs="Times New Roman" w:hAnsi="Times New Roman"/>
                <w:szCs w:val="24"/>
              </w:rPr>
            </w:pPr>
            <w:r>
              <w:rPr>
                <w:rFonts w:ascii="Times New Roman" w:cs="Times New Roman" w:hAnsi="Times New Roman"/>
                <w:szCs w:val="24"/>
              </w:rPr>
              <w:t>0.003*</w:t>
            </w:r>
          </w:p>
        </w:tc>
      </w:tr>
      <w:tr>
        <w:tblPrEx/>
        <w:trPr>
          <w:trHeight w:val="20" w:hRule="atLeast"/>
          <w:jc w:val="center"/>
        </w:trPr>
        <w:tc>
          <w:tcPr>
            <w:tcW w:w="1367" w:type="pct"/>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Median (Min. – Max.)</w:t>
            </w:r>
          </w:p>
        </w:tc>
        <w:tc>
          <w:tcPr>
            <w:tcW w:w="1215" w:type="pct"/>
            <w:gridSpan w:val="2"/>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3(1-4)</w:t>
            </w:r>
          </w:p>
        </w:tc>
        <w:tc>
          <w:tcPr>
            <w:tcW w:w="1420" w:type="pct"/>
            <w:gridSpan w:val="2"/>
            <w:tcBorders/>
            <w:vAlign w:val="center"/>
          </w:tcPr>
          <w:p>
            <w:pPr>
              <w:pStyle w:val="style0"/>
              <w:jc w:val="both"/>
              <w:rPr>
                <w:rFonts w:ascii="Times New Roman" w:cs="Times New Roman" w:hAnsi="Times New Roman"/>
                <w:kern w:val="0"/>
                <w:szCs w:val="24"/>
              </w:rPr>
            </w:pPr>
            <w:r>
              <w:rPr>
                <w:rFonts w:ascii="Times New Roman" w:cs="Times New Roman" w:hAnsi="Times New Roman"/>
                <w:szCs w:val="24"/>
              </w:rPr>
              <w:t>1(0-4)</w:t>
            </w:r>
          </w:p>
        </w:tc>
        <w:tc>
          <w:tcPr>
            <w:tcW w:w="500" w:type="pct"/>
            <w:vMerge w:val="continue"/>
            <w:tcBorders/>
            <w:vAlign w:val="center"/>
          </w:tcPr>
          <w:p>
            <w:pPr>
              <w:pStyle w:val="style0"/>
              <w:jc w:val="both"/>
              <w:rPr>
                <w:rFonts w:ascii="Times New Roman" w:cs="Times New Roman" w:hAnsi="Times New Roman"/>
                <w:kern w:val="0"/>
                <w:szCs w:val="24"/>
              </w:rPr>
            </w:pPr>
          </w:p>
        </w:tc>
        <w:tc>
          <w:tcPr>
            <w:tcW w:w="498" w:type="pct"/>
            <w:vMerge w:val="continue"/>
            <w:tcBorders/>
            <w:vAlign w:val="center"/>
          </w:tcPr>
          <w:p>
            <w:pPr>
              <w:pStyle w:val="style0"/>
              <w:jc w:val="both"/>
              <w:rPr>
                <w:rFonts w:ascii="Times New Roman" w:cs="Times New Roman" w:hAnsi="Times New Roman"/>
                <w:szCs w:val="24"/>
              </w:rPr>
            </w:pPr>
          </w:p>
        </w:tc>
      </w:tr>
    </w:tbl>
    <w:p>
      <w:pPr>
        <w:pStyle w:val="style0"/>
        <w:spacing w:before="120" w:after="240" w:lineRule="auto" w:line="360"/>
        <w:jc w:val="both"/>
        <w:rPr>
          <w:rFonts w:ascii="Times New Roman" w:cs="Times New Roman" w:hAnsi="Times New Roman"/>
          <w:b/>
          <w:bCs/>
          <w:szCs w:val="24"/>
        </w:rPr>
      </w:pPr>
    </w:p>
    <w:p>
      <w:pPr>
        <w:pStyle w:val="style0"/>
        <w:spacing w:before="120" w:after="240" w:lineRule="auto" w:line="360"/>
        <w:jc w:val="both"/>
        <w:rPr>
          <w:rFonts w:ascii="Times New Roman" w:cs="Times New Roman" w:hAnsi="Times New Roman"/>
          <w:b/>
          <w:bCs/>
          <w:szCs w:val="24"/>
        </w:rPr>
      </w:pPr>
    </w:p>
    <w:p>
      <w:pPr>
        <w:pStyle w:val="style0"/>
        <w:spacing w:before="120" w:after="240" w:lineRule="auto" w:line="360"/>
        <w:jc w:val="both"/>
        <w:rPr>
          <w:rFonts w:ascii="Times New Roman" w:cs="Times New Roman" w:hAnsi="Times New Roman"/>
          <w:szCs w:val="24"/>
        </w:rPr>
      </w:pPr>
      <w:r>
        <w:rPr>
          <w:rFonts w:ascii="Times New Roman" w:cs="Times New Roman" w:hAnsi="Times New Roman"/>
          <w:b/>
          <w:bCs/>
          <w:szCs w:val="24"/>
        </w:rPr>
        <w:t xml:space="preserve">Table </w:t>
      </w:r>
      <w:r>
        <w:rPr>
          <w:rFonts w:ascii="Times New Roman" w:cs="Times New Roman" w:hAnsi="Times New Roman"/>
          <w:b/>
          <w:bCs/>
          <w:szCs w:val="24"/>
        </w:rPr>
        <w:t>(4)</w:t>
      </w:r>
      <w:r>
        <w:rPr>
          <w:rFonts w:ascii="Times New Roman" w:cs="Times New Roman" w:hAnsi="Times New Roman"/>
          <w:b/>
          <w:bCs/>
          <w:szCs w:val="24"/>
        </w:rPr>
        <w:t>.</w:t>
      </w:r>
      <w:r>
        <w:rPr>
          <w:rFonts w:ascii="Times New Roman" w:cs="Times New Roman" w:hAnsi="Times New Roman"/>
          <w:szCs w:val="24"/>
        </w:rPr>
        <w:t xml:space="preserve"> Linear regression analysis for prediction of PASI score after </w:t>
      </w:r>
      <w:r>
        <w:rPr>
          <w:rFonts w:ascii="Times New Roman" w:cs="Times New Roman" w:hAnsi="Times New Roman"/>
          <w:szCs w:val="24"/>
        </w:rPr>
        <w:t>treatment.β</w:t>
      </w:r>
      <w:r>
        <w:rPr>
          <w:rFonts w:ascii="Times New Roman" w:cs="Times New Roman" w:hAnsi="Times New Roman"/>
          <w:szCs w:val="24"/>
        </w:rPr>
        <w:t xml:space="preserve">, Standardized regression coefficient; *, </w:t>
      </w:r>
      <w:r>
        <w:rPr>
          <w:rFonts w:ascii="Times New Roman" w:cs="Times New Roman" w:hAnsi="Times New Roman"/>
          <w:i/>
          <w:iCs/>
          <w:szCs w:val="24"/>
        </w:rPr>
        <w:t>p</w:t>
      </w:r>
      <w:r>
        <w:rPr>
          <w:rFonts w:ascii="Times New Roman" w:cs="Times New Roman" w:hAnsi="Times New Roman"/>
          <w:szCs w:val="24"/>
        </w:rPr>
        <w:t xml:space="preserve"> </w:t>
      </w:r>
      <w:r>
        <w:rPr>
          <w:rFonts w:ascii="Times New Roman" w:cs="Times New Roman" w:hAnsi="Times New Roman"/>
          <w:szCs w:val="24"/>
        </w:rPr>
        <w:t>&lt;0.05 is considered significant</w:t>
      </w:r>
    </w:p>
    <w:tbl>
      <w:tblPr>
        <w:tblStyle w:val="style4117"/>
        <w:tblW w:w="5148" w:type="pct"/>
        <w:jc w:val="center"/>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123"/>
        <w:gridCol w:w="2061"/>
        <w:gridCol w:w="2369"/>
      </w:tblGrid>
      <w:tr>
        <w:trPr>
          <w:jc w:val="center"/>
        </w:trPr>
        <w:tc>
          <w:tcPr>
            <w:tcW w:w="2410" w:type="pct"/>
            <w:vMerge w:val="restart"/>
            <w:tcBorders>
              <w:top w:val="single" w:sz="4" w:space="0" w:color="auto"/>
              <w:bottom w:val="nil"/>
            </w:tcBorders>
          </w:tcPr>
          <w:p>
            <w:pPr>
              <w:pStyle w:val="style0"/>
              <w:autoSpaceDE w:val="false"/>
              <w:autoSpaceDN w:val="false"/>
              <w:adjustRightInd w:val="false"/>
              <w:jc w:val="both"/>
              <w:rPr>
                <w:rFonts w:ascii="Times New Roman" w:cs="Times New Roman" w:hAnsi="Times New Roman"/>
                <w:kern w:val="0"/>
                <w:szCs w:val="24"/>
              </w:rPr>
            </w:pPr>
          </w:p>
        </w:tc>
        <w:tc>
          <w:tcPr>
            <w:tcW w:w="2590" w:type="pct"/>
            <w:gridSpan w:val="2"/>
            <w:tcBorders>
              <w:top w:val="single" w:sz="4" w:space="0" w:color="auto"/>
              <w:bottom w:val="nil"/>
            </w:tcBorders>
            <w:vAlign w:val="center"/>
          </w:tcPr>
          <w:p>
            <w:pPr>
              <w:pStyle w:val="style0"/>
              <w:autoSpaceDE w:val="false"/>
              <w:autoSpaceDN w:val="false"/>
              <w:adjustRightInd w:val="false"/>
              <w:jc w:val="both"/>
              <w:rPr>
                <w:rFonts w:ascii="Times New Roman" w:cs="Times New Roman" w:hAnsi="Times New Roman"/>
                <w:b/>
                <w:bCs/>
                <w:i/>
                <w:iCs/>
                <w:kern w:val="0"/>
                <w:szCs w:val="24"/>
              </w:rPr>
            </w:pPr>
            <w:r>
              <w:rPr>
                <w:rFonts w:ascii="Times New Roman" w:cs="Times New Roman" w:hAnsi="Times New Roman"/>
                <w:b/>
                <w:bCs/>
                <w:kern w:val="0"/>
                <w:szCs w:val="24"/>
              </w:rPr>
              <w:t>prediction of PASI score after treatment</w:t>
            </w:r>
          </w:p>
        </w:tc>
      </w:tr>
      <w:tr>
        <w:tblPrEx/>
        <w:trPr>
          <w:jc w:val="center"/>
        </w:trPr>
        <w:tc>
          <w:tcPr>
            <w:tcW w:w="2410" w:type="pct"/>
            <w:vMerge w:val="continue"/>
            <w:tcBorders>
              <w:top w:val="nil"/>
              <w:bottom w:val="single" w:sz="4" w:space="0" w:color="auto"/>
            </w:tcBorders>
          </w:tcPr>
          <w:p>
            <w:pPr>
              <w:pStyle w:val="style0"/>
              <w:autoSpaceDE w:val="false"/>
              <w:autoSpaceDN w:val="false"/>
              <w:adjustRightInd w:val="false"/>
              <w:jc w:val="both"/>
              <w:rPr>
                <w:rFonts w:ascii="Times New Roman" w:cs="Times New Roman" w:hAnsi="Times New Roman"/>
                <w:kern w:val="0"/>
                <w:szCs w:val="24"/>
              </w:rPr>
            </w:pPr>
          </w:p>
        </w:tc>
        <w:tc>
          <w:tcPr>
            <w:tcW w:w="1205" w:type="pct"/>
            <w:tcBorders>
              <w:top w:val="nil"/>
              <w:bottom w:val="single" w:sz="4" w:space="0" w:color="auto"/>
            </w:tcBorders>
            <w:vAlign w:val="center"/>
          </w:tcPr>
          <w:p>
            <w:pPr>
              <w:pStyle w:val="style0"/>
              <w:autoSpaceDE w:val="false"/>
              <w:autoSpaceDN w:val="false"/>
              <w:adjustRightInd w:val="false"/>
              <w:jc w:val="both"/>
              <w:rPr>
                <w:rFonts w:ascii="Times New Roman" w:cs="Times New Roman" w:hAnsi="Times New Roman"/>
                <w:b/>
                <w:bCs/>
                <w:i/>
                <w:iCs/>
                <w:kern w:val="0"/>
                <w:szCs w:val="24"/>
              </w:rPr>
            </w:pPr>
            <w:r>
              <w:rPr>
                <w:rFonts w:ascii="Times New Roman" w:cs="Times New Roman" w:hAnsi="Times New Roman"/>
                <w:b/>
                <w:bCs/>
                <w:i/>
                <w:iCs/>
                <w:kern w:val="0"/>
                <w:szCs w:val="24"/>
              </w:rPr>
              <w:t>Β</w:t>
            </w:r>
          </w:p>
        </w:tc>
        <w:tc>
          <w:tcPr>
            <w:tcW w:w="1385" w:type="pct"/>
            <w:tcBorders>
              <w:top w:val="nil"/>
              <w:bottom w:val="single" w:sz="4" w:space="0" w:color="auto"/>
            </w:tcBorders>
            <w:vAlign w:val="center"/>
          </w:tcPr>
          <w:p>
            <w:pPr>
              <w:pStyle w:val="style0"/>
              <w:autoSpaceDE w:val="false"/>
              <w:autoSpaceDN w:val="false"/>
              <w:adjustRightInd w:val="false"/>
              <w:jc w:val="both"/>
              <w:rPr>
                <w:rFonts w:ascii="Times New Roman" w:cs="Times New Roman" w:hAnsi="Times New Roman"/>
                <w:b/>
                <w:bCs/>
                <w:i/>
                <w:iCs/>
                <w:kern w:val="0"/>
                <w:szCs w:val="24"/>
              </w:rPr>
            </w:pPr>
            <w:r>
              <w:rPr>
                <w:rFonts w:ascii="Times New Roman" w:cs="Times New Roman" w:hAnsi="Times New Roman"/>
                <w:b/>
                <w:bCs/>
                <w:i/>
                <w:iCs/>
                <w:kern w:val="0"/>
                <w:szCs w:val="24"/>
              </w:rPr>
              <w:t>p- value</w:t>
            </w:r>
          </w:p>
        </w:tc>
      </w:tr>
      <w:tr>
        <w:tblPrEx/>
        <w:trPr>
          <w:jc w:val="center"/>
        </w:trPr>
        <w:tc>
          <w:tcPr>
            <w:tcW w:w="2410" w:type="pct"/>
            <w:tcBorders>
              <w:top w:val="single" w:sz="4" w:space="0" w:color="auto"/>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Age</w:t>
            </w:r>
          </w:p>
        </w:tc>
        <w:tc>
          <w:tcPr>
            <w:tcW w:w="1205" w:type="pct"/>
            <w:tcBorders>
              <w:top w:val="single" w:sz="4" w:space="0" w:color="auto"/>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-0.235</w:t>
            </w:r>
          </w:p>
        </w:tc>
        <w:tc>
          <w:tcPr>
            <w:tcW w:w="1385" w:type="pct"/>
            <w:tcBorders>
              <w:top w:val="single" w:sz="4" w:space="0" w:color="auto"/>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0.318</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BMI</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-0.214</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0.364</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SBP</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-0.354</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0.126</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DBP</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-0.574</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0.108</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Arthritis</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-0.247</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0.295</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Pruritis</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0.420</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0.065</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TC</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-0.003</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0.989</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TG</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0.232</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0.326</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HDL</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0.229</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0.332</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LDL</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0.222</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0.348</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b/>
                <w:bCs/>
                <w:kern w:val="0"/>
                <w:szCs w:val="24"/>
              </w:rPr>
            </w:pPr>
            <w:r>
              <w:rPr>
                <w:rFonts w:ascii="Times New Roman" w:cs="Times New Roman" w:hAnsi="Times New Roman"/>
                <w:b/>
                <w:bCs/>
                <w:kern w:val="0"/>
                <w:szCs w:val="24"/>
              </w:rPr>
              <w:t>SREBP 2 expression before treatment</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0.279</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0.234</w:t>
            </w:r>
          </w:p>
        </w:tc>
      </w:tr>
      <w:tr>
        <w:tblPrEx/>
        <w:trPr>
          <w:jc w:val="center"/>
        </w:trPr>
        <w:tc>
          <w:tcPr>
            <w:tcW w:w="2410" w:type="pct"/>
            <w:tcBorders/>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b/>
                <w:bCs/>
                <w:kern w:val="0"/>
                <w:szCs w:val="24"/>
              </w:rPr>
              <w:t>IL-17</w:t>
            </w:r>
            <w:r>
              <w:rPr>
                <w:rFonts w:ascii="Times New Roman" w:cs="Times New Roman" w:hAnsi="Times New Roman"/>
                <w:kern w:val="0"/>
                <w:szCs w:val="24"/>
              </w:rPr>
              <w:t xml:space="preserve">A </w:t>
            </w:r>
            <w:r>
              <w:rPr>
                <w:rFonts w:ascii="Times New Roman" w:cs="Times New Roman" w:hAnsi="Times New Roman"/>
                <w:b/>
                <w:bCs/>
                <w:kern w:val="0"/>
                <w:szCs w:val="24"/>
              </w:rPr>
              <w:t>expression before</w:t>
            </w:r>
            <w:r>
              <w:rPr>
                <w:rFonts w:ascii="Times New Roman" w:cs="Times New Roman" w:hAnsi="Times New Roman"/>
                <w:kern w:val="0"/>
                <w:szCs w:val="24"/>
              </w:rPr>
              <w:t xml:space="preserve"> </w:t>
            </w:r>
            <w:r>
              <w:rPr>
                <w:rFonts w:ascii="Times New Roman" w:cs="Times New Roman" w:hAnsi="Times New Roman"/>
                <w:b/>
                <w:bCs/>
                <w:kern w:val="0"/>
                <w:szCs w:val="24"/>
              </w:rPr>
              <w:t>treatment</w:t>
            </w:r>
          </w:p>
        </w:tc>
        <w:tc>
          <w:tcPr>
            <w:tcW w:w="120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-0.477</w:t>
            </w:r>
          </w:p>
        </w:tc>
        <w:tc>
          <w:tcPr>
            <w:tcW w:w="1385" w:type="pct"/>
            <w:tcBorders/>
            <w:vAlign w:val="center"/>
          </w:tcPr>
          <w:p>
            <w:pPr>
              <w:pStyle w:val="style0"/>
              <w:autoSpaceDE w:val="false"/>
              <w:autoSpaceDN w:val="false"/>
              <w:adjustRightInd w:val="false"/>
              <w:jc w:val="both"/>
              <w:rPr>
                <w:rFonts w:ascii="Times New Roman" w:cs="Times New Roman" w:hAnsi="Times New Roman"/>
                <w:kern w:val="0"/>
                <w:szCs w:val="24"/>
              </w:rPr>
            </w:pPr>
            <w:r>
              <w:rPr>
                <w:rFonts w:ascii="Times New Roman" w:cs="Times New Roman" w:hAnsi="Times New Roman"/>
                <w:kern w:val="0"/>
                <w:szCs w:val="24"/>
              </w:rPr>
              <w:t>0.033*</w:t>
            </w:r>
          </w:p>
        </w:tc>
      </w:tr>
    </w:tbl>
    <w:p>
      <w:pPr>
        <w:pStyle w:val="style0"/>
        <w:spacing w:before="120" w:after="240" w:lineRule="auto" w:line="360"/>
        <w:jc w:val="center"/>
        <w:rPr>
          <w:rFonts w:ascii="Times New Roman" w:cs="Times New Roman" w:hAnsi="Times New Roman"/>
          <w:sz w:val="2"/>
          <w:szCs w:val="2"/>
        </w:rPr>
      </w:pPr>
    </w:p>
    <w:tbl>
      <w:tblPr>
        <w:tblStyle w:val="style154"/>
        <w:tblW w:w="86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1440"/>
        <w:gridCol w:w="1530"/>
        <w:gridCol w:w="1440"/>
        <w:gridCol w:w="1530"/>
        <w:gridCol w:w="1440"/>
      </w:tblGrid>
      <w:tr>
        <w:trPr>
          <w:jc w:val="center"/>
        </w:trPr>
        <w:tc>
          <w:tcPr>
            <w:tcW w:w="1278" w:type="dxa"/>
            <w:tcBorders/>
          </w:tcPr>
          <w:p>
            <w:pPr>
              <w:pStyle w:val="style0"/>
              <w:spacing w:before="120" w:after="240" w:lineRule="auto" w:line="360"/>
              <w:rPr>
                <w:rFonts w:ascii="Times New Roman" w:cs="Times New Roman" w:hAnsi="Times New Roman"/>
                <w:szCs w:val="24"/>
              </w:rPr>
            </w:pPr>
          </w:p>
        </w:tc>
        <w:tc>
          <w:tcPr>
            <w:tcW w:w="1440" w:type="dxa"/>
            <w:tcBorders/>
          </w:tcPr>
          <w:p>
            <w:pPr>
              <w:pStyle w:val="style0"/>
              <w:spacing w:before="120" w:after="240" w:lineRule="auto" w:line="360"/>
              <w:jc w:val="center"/>
              <w:rPr>
                <w:rFonts w:ascii="Times New Roman" w:cs="Times New Roman" w:hAnsi="Times New Roman"/>
                <w:szCs w:val="24"/>
              </w:rPr>
            </w:pPr>
          </w:p>
          <w:p>
            <w:pPr>
              <w:pStyle w:val="style0"/>
              <w:spacing w:before="120" w:after="240" w:lineRule="auto" w:line="360"/>
              <w:jc w:val="center"/>
              <w:rPr>
                <w:rFonts w:ascii="Times New Roman" w:cs="Times New Roman" w:hAnsi="Times New Roman"/>
                <w:szCs w:val="24"/>
              </w:rPr>
            </w:pPr>
          </w:p>
          <w:p>
            <w:pPr>
              <w:pStyle w:val="style0"/>
              <w:spacing w:before="120" w:after="240" w:lineRule="auto" w:line="360"/>
              <w:rPr>
                <w:rFonts w:ascii="Times New Roman" w:cs="Times New Roman" w:hAnsi="Times New Roman"/>
                <w:szCs w:val="24"/>
              </w:rPr>
            </w:pPr>
          </w:p>
        </w:tc>
        <w:tc>
          <w:tcPr>
            <w:tcW w:w="1530" w:type="dxa"/>
            <w:tcBorders/>
          </w:tcPr>
          <w:p>
            <w:pPr>
              <w:pStyle w:val="style0"/>
              <w:spacing w:before="120" w:after="240" w:lineRule="auto" w:line="360"/>
              <w:jc w:val="center"/>
              <w:rPr>
                <w:rFonts w:ascii="Times New Roman" w:cs="Times New Roman" w:hAnsi="Times New Roman"/>
                <w:szCs w:val="24"/>
              </w:rPr>
            </w:pPr>
          </w:p>
        </w:tc>
        <w:tc>
          <w:tcPr>
            <w:tcW w:w="1440" w:type="dxa"/>
            <w:tcBorders/>
          </w:tcPr>
          <w:p>
            <w:pPr>
              <w:pStyle w:val="style0"/>
              <w:spacing w:before="120" w:after="240" w:lineRule="auto" w:line="360"/>
              <w:jc w:val="center"/>
              <w:rPr>
                <w:rFonts w:ascii="Times New Roman" w:cs="Times New Roman" w:hAnsi="Times New Roman"/>
                <w:szCs w:val="24"/>
              </w:rPr>
            </w:pPr>
          </w:p>
        </w:tc>
        <w:tc>
          <w:tcPr>
            <w:tcW w:w="1530" w:type="dxa"/>
            <w:tcBorders/>
          </w:tcPr>
          <w:p>
            <w:pPr>
              <w:pStyle w:val="style0"/>
              <w:spacing w:before="120" w:after="240" w:lineRule="auto" w:line="360"/>
              <w:rPr>
                <w:rFonts w:ascii="Times New Roman" w:cs="Times New Roman" w:hAnsi="Times New Roman"/>
                <w:szCs w:val="24"/>
              </w:rPr>
            </w:pPr>
          </w:p>
        </w:tc>
        <w:tc>
          <w:tcPr>
            <w:tcW w:w="1440" w:type="dxa"/>
            <w:tcBorders/>
          </w:tcPr>
          <w:p>
            <w:pPr>
              <w:pStyle w:val="style0"/>
              <w:spacing w:before="120" w:after="240" w:lineRule="auto" w:line="360"/>
              <w:jc w:val="center"/>
              <w:rPr>
                <w:rFonts w:ascii="Times New Roman" w:cs="Times New Roman" w:hAnsi="Times New Roman"/>
                <w:szCs w:val="24"/>
              </w:rPr>
            </w:pPr>
          </w:p>
        </w:tc>
      </w:tr>
    </w:tbl>
    <w:p>
      <w:pPr>
        <w:pStyle w:val="style1"/>
        <w:keepNext w:val="false"/>
        <w:keepLines w:val="false"/>
        <w:spacing w:before="120" w:after="240" w:lineRule="auto" w:line="360"/>
        <w:jc w:val="both"/>
        <w:rPr>
          <w:rFonts w:ascii="Times New Roman" w:hAnsi="Times New Roman"/>
          <w:color w:val="auto"/>
          <w:sz w:val="24"/>
          <w:szCs w:val="24"/>
        </w:rPr>
      </w:pPr>
    </w:p>
    <w:p>
      <w:pPr>
        <w:pStyle w:val="style1"/>
        <w:keepNext w:val="false"/>
        <w:keepLines w:val="false"/>
        <w:spacing w:before="120" w:after="240" w:lineRule="auto" w:line="360"/>
        <w:ind w:left="720" w:hanging="630"/>
        <w:jc w:val="center"/>
        <w:rPr>
          <w:rFonts w:ascii="Times New Roman" w:hAnsi="Times New Roman"/>
          <w:color w:val="auto"/>
          <w:sz w:val="24"/>
          <w:szCs w:val="24"/>
        </w:rPr>
      </w:pPr>
      <w:r>
        <w:rPr>
          <w:rFonts w:ascii="Times New Roman" w:hAnsi="Times New Roman"/>
          <w:noProof/>
          <w:color w:val="auto"/>
          <w:sz w:val="24"/>
          <w:szCs w:val="24"/>
        </w:rPr>
        <w:drawing>
          <wp:inline distL="0" distT="0" distB="0" distR="0">
            <wp:extent cx="1718731" cy="1933574"/>
            <wp:effectExtent l="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1718731" cy="1933574"/>
                    </a:xfrm>
                    <a:prstGeom prst="rect"/>
                  </pic:spPr>
                </pic:pic>
              </a:graphicData>
            </a:graphic>
          </wp:inline>
        </w:drawing>
      </w:r>
      <w:r>
        <w:rPr>
          <w:rFonts w:ascii="Times New Roman" w:hAnsi="Times New Roman"/>
          <w:noProof/>
          <w:color w:val="auto"/>
          <w:sz w:val="24"/>
          <w:szCs w:val="24"/>
        </w:rPr>
        <w:t xml:space="preserve">             </w:t>
      </w:r>
      <w:r>
        <w:rPr>
          <w:rFonts w:ascii="Times New Roman" w:hAnsi="Times New Roman"/>
          <w:noProof/>
          <w:color w:val="auto"/>
          <w:sz w:val="24"/>
          <w:szCs w:val="24"/>
        </w:rPr>
        <w:t xml:space="preserve">           </w:t>
      </w:r>
      <w:r>
        <w:rPr>
          <w:rFonts w:ascii="Times New Roman" w:hAnsi="Times New Roman"/>
          <w:noProof/>
          <w:color w:val="auto"/>
          <w:sz w:val="24"/>
          <w:szCs w:val="24"/>
        </w:rPr>
        <w:t xml:space="preserve">      </w:t>
      </w:r>
      <w:r>
        <w:rPr>
          <w:rFonts w:ascii="Times New Roman" w:hAnsi="Times New Roman"/>
          <w:noProof/>
          <w:color w:val="auto"/>
          <w:sz w:val="24"/>
          <w:szCs w:val="24"/>
        </w:rPr>
        <w:drawing>
          <wp:inline distL="0" distT="0" distB="0" distR="0">
            <wp:extent cx="1722966" cy="1973580"/>
            <wp:effectExtent l="0" t="0" r="0" b="7620"/>
            <wp:docPr id="1028"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4" cstate="print"/>
                    <a:srcRect l="0" t="0" r="0" b="0"/>
                    <a:stretch/>
                  </pic:blipFill>
                  <pic:spPr>
                    <a:xfrm rot="0">
                      <a:off x="0" y="0"/>
                      <a:ext cx="1722966" cy="1973580"/>
                    </a:xfrm>
                    <a:prstGeom prst="rect"/>
                  </pic:spPr>
                </pic:pic>
              </a:graphicData>
            </a:graphic>
          </wp:inline>
        </w:drawing>
      </w:r>
    </w:p>
    <w:p>
      <w:pPr>
        <w:pStyle w:val="style1"/>
        <w:keepNext w:val="false"/>
        <w:keepLines w:val="false"/>
        <w:spacing w:before="120" w:after="240" w:lineRule="auto" w:line="360"/>
        <w:jc w:val="both"/>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(a)</w:t>
      </w: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d</w:t>
      </w:r>
      <w:r>
        <w:rPr>
          <w:rFonts w:ascii="Times New Roman" w:hAnsi="Times New Roman"/>
          <w:color w:val="auto"/>
          <w:sz w:val="24"/>
          <w:szCs w:val="24"/>
        </w:rPr>
        <w:t>)</w:t>
      </w:r>
      <w:r>
        <w:rPr>
          <w:rFonts w:ascii="Times New Roman" w:hAnsi="Times New Roman"/>
          <w:color w:val="auto"/>
          <w:sz w:val="24"/>
          <w:szCs w:val="24"/>
        </w:rPr>
        <w:t xml:space="preserve">                                  </w:t>
      </w:r>
    </w:p>
    <w:p>
      <w:pPr>
        <w:pStyle w:val="style1"/>
        <w:keepNext w:val="false"/>
        <w:keepLines w:val="false"/>
        <w:spacing w:before="120" w:after="240" w:lineRule="auto" w:line="360"/>
        <w:ind w:hanging="630"/>
        <w:rPr>
          <w:rFonts w:ascii="Times New Roman" w:hAnsi="Times New Roman"/>
          <w:color w:val="auto"/>
          <w:sz w:val="24"/>
          <w:szCs w:val="24"/>
        </w:rPr>
      </w:pPr>
      <w:r>
        <w:rPr>
          <w:rFonts w:ascii="Times New Roman" w:hAnsi="Times New Roman"/>
          <w:noProof/>
          <w:color w:val="auto"/>
          <w:sz w:val="24"/>
          <w:szCs w:val="24"/>
        </w:rPr>
        <w:t xml:space="preserve">      </w:t>
      </w:r>
      <w:r>
        <w:rPr>
          <w:rFonts w:ascii="Times New Roman" w:hAnsi="Times New Roman"/>
          <w:noProof/>
          <w:color w:val="auto"/>
          <w:sz w:val="24"/>
          <w:szCs w:val="24"/>
        </w:rPr>
        <w:t xml:space="preserve">     </w:t>
      </w:r>
      <w:r>
        <w:rPr>
          <w:rFonts w:ascii="Times New Roman" w:hAnsi="Times New Roman"/>
          <w:noProof/>
          <w:color w:val="auto"/>
          <w:sz w:val="24"/>
          <w:szCs w:val="24"/>
        </w:rPr>
        <w:t xml:space="preserve">     </w:t>
      </w:r>
      <w:r>
        <w:rPr>
          <w:rFonts w:ascii="Times New Roman" w:hAnsi="Times New Roman"/>
          <w:noProof/>
          <w:color w:val="auto"/>
          <w:sz w:val="24"/>
          <w:szCs w:val="24"/>
        </w:rPr>
        <w:drawing>
          <wp:inline distL="0" distT="0" distB="0" distR="0">
            <wp:extent cx="2006496" cy="2057400"/>
            <wp:effectExtent l="0" t="0" r="0" b="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cstate="print"/>
                    <a:srcRect l="0" t="0" r="0" b="0"/>
                    <a:stretch/>
                  </pic:blipFill>
                  <pic:spPr>
                    <a:xfrm rot="0">
                      <a:off x="0" y="0"/>
                      <a:ext cx="2006496" cy="2057400"/>
                    </a:xfrm>
                    <a:prstGeom prst="rect"/>
                  </pic:spPr>
                </pic:pic>
              </a:graphicData>
            </a:graphic>
          </wp:inline>
        </w:drawing>
      </w:r>
      <w:r>
        <w:rPr>
          <w:rFonts w:ascii="Times New Roman" w:hAnsi="Times New Roman"/>
          <w:noProof/>
          <w:color w:val="auto"/>
          <w:sz w:val="24"/>
          <w:szCs w:val="24"/>
        </w:rPr>
        <w:t xml:space="preserve">             </w:t>
      </w:r>
      <w:r>
        <w:rPr>
          <w:rFonts w:ascii="Times New Roman" w:hAnsi="Times New Roman"/>
          <w:noProof/>
          <w:color w:val="auto"/>
          <w:sz w:val="24"/>
          <w:szCs w:val="24"/>
        </w:rPr>
        <w:t xml:space="preserve">        </w:t>
      </w:r>
      <w:r>
        <w:rPr>
          <w:rFonts w:ascii="Times New Roman" w:hAnsi="Times New Roman"/>
          <w:noProof/>
          <w:color w:val="auto"/>
          <w:sz w:val="24"/>
          <w:szCs w:val="24"/>
        </w:rPr>
        <w:drawing>
          <wp:inline distL="0" distT="0" distB="0" distR="0">
            <wp:extent cx="1988148" cy="2065020"/>
            <wp:effectExtent l="0" t="0" r="0" b="0"/>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1988148" cy="2065020"/>
                    </a:xfrm>
                    <a:prstGeom prst="rect"/>
                  </pic:spPr>
                </pic:pic>
              </a:graphicData>
            </a:graphic>
          </wp:inline>
        </w:drawing>
      </w:r>
    </w:p>
    <w:p>
      <w:pPr>
        <w:pStyle w:val="style1"/>
        <w:keepNext w:val="false"/>
        <w:keepLines w:val="false"/>
        <w:spacing w:before="120" w:after="240" w:lineRule="auto" w:line="360"/>
        <w:ind w:hanging="630"/>
        <w:jc w:val="both"/>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t xml:space="preserve">(b)                                                                           </w:t>
      </w:r>
      <w:r>
        <w:rPr>
          <w:rFonts w:ascii="Times New Roman" w:hAnsi="Times New Roman"/>
          <w:color w:val="auto"/>
          <w:sz w:val="24"/>
          <w:szCs w:val="24"/>
        </w:rPr>
        <w:t xml:space="preserve">   (</w:t>
      </w:r>
      <w:r>
        <w:rPr>
          <w:rFonts w:ascii="Times New Roman" w:hAnsi="Times New Roman"/>
          <w:color w:val="auto"/>
          <w:sz w:val="24"/>
          <w:szCs w:val="24"/>
        </w:rPr>
        <w:t>e)</w:t>
      </w:r>
    </w:p>
    <w:p>
      <w:pPr>
        <w:pStyle w:val="style1"/>
        <w:keepNext w:val="false"/>
        <w:keepLines w:val="false"/>
        <w:spacing w:before="120" w:after="240" w:lineRule="auto" w:line="360"/>
        <w:ind w:hanging="630"/>
        <w:jc w:val="both"/>
        <w:rPr>
          <w:rFonts w:ascii="Times New Roman" w:hAnsi="Times New Roman"/>
          <w:color w:val="auto"/>
          <w:sz w:val="24"/>
          <w:szCs w:val="24"/>
        </w:rPr>
      </w:pPr>
      <w:r>
        <w:rPr>
          <w:rFonts w:ascii="Times New Roman" w:hAnsi="Times New Roman"/>
          <w:noProof/>
          <w:color w:val="auto"/>
          <w:sz w:val="24"/>
          <w:szCs w:val="24"/>
        </w:rPr>
        <w:t xml:space="preserve">   </w:t>
      </w:r>
      <w:r>
        <w:rPr>
          <w:rFonts w:ascii="Times New Roman" w:hAnsi="Times New Roman"/>
          <w:noProof/>
          <w:color w:val="auto"/>
          <w:sz w:val="24"/>
          <w:szCs w:val="24"/>
        </w:rPr>
        <w:t xml:space="preserve">    </w:t>
      </w:r>
      <w:r>
        <w:rPr>
          <w:rFonts w:ascii="Times New Roman" w:hAnsi="Times New Roman"/>
          <w:noProof/>
          <w:color w:val="auto"/>
          <w:sz w:val="24"/>
          <w:szCs w:val="24"/>
        </w:rPr>
        <w:t xml:space="preserve">    </w:t>
      </w:r>
      <w:r>
        <w:rPr>
          <w:rFonts w:ascii="Times New Roman" w:hAnsi="Times New Roman"/>
          <w:noProof/>
          <w:color w:val="auto"/>
          <w:sz w:val="24"/>
          <w:szCs w:val="24"/>
        </w:rPr>
        <w:drawing>
          <wp:inline distL="0" distT="0" distB="0" distR="0">
            <wp:extent cx="2110901" cy="1935479"/>
            <wp:effectExtent l="0" t="0" r="3810" b="7620"/>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7" cstate="print"/>
                    <a:srcRect l="0" t="0" r="0" b="0"/>
                    <a:stretch/>
                  </pic:blipFill>
                  <pic:spPr>
                    <a:xfrm rot="0">
                      <a:off x="0" y="0"/>
                      <a:ext cx="2110901" cy="1935479"/>
                    </a:xfrm>
                    <a:prstGeom prst="rect"/>
                  </pic:spPr>
                </pic:pic>
              </a:graphicData>
            </a:graphic>
          </wp:inline>
        </w:drawing>
      </w:r>
      <w:r>
        <w:rPr>
          <w:rFonts w:ascii="Times New Roman" w:hAnsi="Times New Roman"/>
          <w:noProof/>
          <w:color w:val="auto"/>
          <w:sz w:val="24"/>
          <w:szCs w:val="24"/>
        </w:rPr>
        <w:t xml:space="preserve">                    </w:t>
      </w:r>
      <w:r>
        <w:rPr>
          <w:rFonts w:ascii="Times New Roman" w:hAnsi="Times New Roman"/>
          <w:noProof/>
          <w:color w:val="auto"/>
          <w:sz w:val="24"/>
          <w:szCs w:val="24"/>
        </w:rPr>
        <w:drawing>
          <wp:inline distL="0" distT="0" distB="0" distR="0">
            <wp:extent cx="2080260" cy="1945042"/>
            <wp:effectExtent l="0" t="0" r="0" b="0"/>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0" r="0" b="0"/>
                    <a:stretch/>
                  </pic:blipFill>
                  <pic:spPr>
                    <a:xfrm rot="0">
                      <a:off x="0" y="0"/>
                      <a:ext cx="2080260" cy="1945042"/>
                    </a:xfrm>
                    <a:prstGeom prst="rect"/>
                  </pic:spPr>
                </pic:pic>
              </a:graphicData>
            </a:graphic>
          </wp:inline>
        </w:drawing>
      </w:r>
    </w:p>
    <w:p>
      <w:pPr>
        <w:pStyle w:val="style1"/>
        <w:keepNext w:val="false"/>
        <w:keepLines w:val="false"/>
        <w:spacing w:before="120" w:after="240" w:lineRule="auto" w:line="360"/>
        <w:jc w:val="both"/>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t xml:space="preserve">(c)                      </w:t>
      </w: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 xml:space="preserve">   (</w:t>
      </w:r>
      <w:r>
        <w:rPr>
          <w:rFonts w:ascii="Times New Roman" w:hAnsi="Times New Roman"/>
          <w:color w:val="auto"/>
          <w:sz w:val="24"/>
          <w:szCs w:val="24"/>
        </w:rPr>
        <w:t>f)</w:t>
      </w:r>
    </w:p>
    <w:p>
      <w:pPr>
        <w:pStyle w:val="style0"/>
        <w:ind w:left="-630" w:right="-963"/>
        <w:jc w:val="both"/>
        <w:rPr>
          <w:sz w:val="20"/>
          <w:szCs w:val="18"/>
        </w:rPr>
      </w:pPr>
      <w:r>
        <w:rPr>
          <w:b/>
          <w:bCs/>
          <w:sz w:val="20"/>
          <w:szCs w:val="18"/>
        </w:rPr>
        <w:t>a:</w:t>
      </w:r>
      <w:r>
        <w:rPr>
          <w:sz w:val="20"/>
          <w:szCs w:val="18"/>
        </w:rPr>
        <w:t>case of psoriasis before phototherapy</w:t>
      </w:r>
      <w:r>
        <w:rPr>
          <w:b/>
          <w:bCs/>
          <w:sz w:val="20"/>
          <w:szCs w:val="18"/>
        </w:rPr>
        <w:t xml:space="preserve"> ,b </w:t>
      </w:r>
      <w:r>
        <w:rPr>
          <w:sz w:val="20"/>
          <w:szCs w:val="18"/>
        </w:rPr>
        <w:t>diffuse  strong   membranous  &amp; cytoplasmic  expression ( score 4) of IL7  in the epidermis (IHC,X200) before treatment</w:t>
      </w:r>
      <w:r>
        <w:rPr>
          <w:b/>
          <w:bCs/>
          <w:sz w:val="20"/>
          <w:szCs w:val="18"/>
        </w:rPr>
        <w:t xml:space="preserve">, c: </w:t>
      </w:r>
      <w:r>
        <w:rPr>
          <w:sz w:val="20"/>
          <w:szCs w:val="18"/>
        </w:rPr>
        <w:t xml:space="preserve">focal weak cytoplasmic expression ( score 1) of SERBP  in the epidermis (IHC,X400)before treatment </w:t>
      </w:r>
      <w:r>
        <w:rPr>
          <w:b/>
          <w:bCs/>
          <w:sz w:val="20"/>
          <w:szCs w:val="18"/>
        </w:rPr>
        <w:t xml:space="preserve">,d: </w:t>
      </w:r>
      <w:r>
        <w:rPr>
          <w:sz w:val="20"/>
          <w:szCs w:val="18"/>
        </w:rPr>
        <w:t>case of psoriasis after treatment</w:t>
      </w:r>
      <w:r>
        <w:rPr>
          <w:b/>
          <w:bCs/>
          <w:sz w:val="20"/>
          <w:szCs w:val="18"/>
        </w:rPr>
        <w:t xml:space="preserve"> ,e: </w:t>
      </w:r>
      <w:r>
        <w:rPr>
          <w:sz w:val="20"/>
          <w:szCs w:val="18"/>
        </w:rPr>
        <w:t>focal moderate  membranous  expression ( score 1) of IL7  in the epidermis (IHC,X400) f: diffuse  strong   cytoplasmic expression in more than 40% of eoidermis ( score 2) of SERBP  (IHC,X200)</w:t>
      </w:r>
    </w:p>
    <w:p>
      <w:pPr>
        <w:pStyle w:val="style0"/>
        <w:rPr/>
      </w:pPr>
    </w:p>
    <w:p>
      <w:pPr>
        <w:pStyle w:val="style1"/>
        <w:keepNext w:val="false"/>
        <w:keepLines w:val="false"/>
        <w:spacing w:before="120" w:after="240" w:lineRule="auto" w:line="360"/>
        <w:jc w:val="both"/>
        <w:rPr>
          <w:rFonts w:ascii="Times New Roman" w:hAnsi="Times New Roman"/>
          <w:color w:val="auto"/>
          <w:sz w:val="24"/>
          <w:szCs w:val="24"/>
        </w:rPr>
      </w:pPr>
      <w:r>
        <w:rPr>
          <w:rFonts w:ascii="Times New Roman" w:hAnsi="Times New Roman"/>
          <w:color w:val="auto"/>
          <w:sz w:val="24"/>
          <w:szCs w:val="24"/>
        </w:rPr>
        <w:t>Discussion</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In current study, s</w:t>
      </w:r>
      <w:r>
        <w:rPr>
          <w:rFonts w:ascii="Times New Roman" w:cs="Times New Roman" w:hAnsi="Times New Roman"/>
          <w:szCs w:val="24"/>
        </w:rPr>
        <w:t xml:space="preserve">ignificant </w:t>
      </w:r>
      <w:r>
        <w:rPr>
          <w:rFonts w:ascii="Times New Roman" w:cs="Times New Roman" w:hAnsi="Times New Roman"/>
          <w:szCs w:val="24"/>
        </w:rPr>
        <w:t>changes</w:t>
      </w:r>
      <w:r>
        <w:rPr>
          <w:rFonts w:ascii="Times New Roman" w:cs="Times New Roman" w:hAnsi="Times New Roman"/>
          <w:szCs w:val="24"/>
        </w:rPr>
        <w:t xml:space="preserve"> in both immunological and metabolic markers following NB-UVB phototherapy in patients with psoriasis vulgaris</w:t>
      </w:r>
      <w:r>
        <w:rPr>
          <w:rFonts w:ascii="Times New Roman" w:cs="Times New Roman" w:hAnsi="Times New Roman"/>
          <w:szCs w:val="24"/>
        </w:rPr>
        <w:t xml:space="preserve"> were found. </w:t>
      </w:r>
      <w:r>
        <w:rPr>
          <w:rFonts w:ascii="Times New Roman" w:cs="Times New Roman" w:hAnsi="Times New Roman"/>
          <w:szCs w:val="24"/>
        </w:rPr>
        <w:t xml:space="preserve">Notably, tissue expression of IL-17A decreased significantly after treatment, while SREBP2 expression showed a significant increase, suggesting a multidimensional therapeutic effect of </w:t>
      </w:r>
      <w:r>
        <w:rPr>
          <w:rFonts w:ascii="Times New Roman" w:cs="Times New Roman" w:hAnsi="Times New Roman"/>
          <w:szCs w:val="24"/>
        </w:rPr>
        <w:t>NB-UVB phototherapy</w:t>
      </w:r>
      <w:r>
        <w:rPr>
          <w:rFonts w:ascii="Times New Roman" w:cs="Times New Roman" w:hAnsi="Times New Roman"/>
          <w:szCs w:val="24"/>
        </w:rPr>
        <w:t xml:space="preserve"> on psoriasis patients.</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 xml:space="preserve">The tissue expression levels of </w:t>
      </w:r>
      <w:r>
        <w:rPr>
          <w:rFonts w:ascii="Times New Roman" w:cs="Times New Roman" w:hAnsi="Times New Roman"/>
          <w:szCs w:val="24"/>
        </w:rPr>
        <w:t xml:space="preserve"> IL-17A </w:t>
      </w:r>
      <w:r>
        <w:rPr>
          <w:rFonts w:ascii="Times New Roman" w:cs="Times New Roman" w:hAnsi="Times New Roman"/>
          <w:szCs w:val="24"/>
        </w:rPr>
        <w:t>were</w:t>
      </w:r>
      <w:r>
        <w:rPr>
          <w:rFonts w:ascii="Times New Roman" w:cs="Times New Roman" w:hAnsi="Times New Roman"/>
          <w:szCs w:val="24"/>
        </w:rPr>
        <w:t xml:space="preserve"> markedly elevated in psoriatic lesions </w:t>
      </w:r>
      <w:r>
        <w:rPr>
          <w:rFonts w:ascii="Times New Roman" w:cs="Times New Roman" w:hAnsi="Times New Roman"/>
          <w:szCs w:val="24"/>
        </w:rPr>
        <w:t xml:space="preserve"> prior to treatment</w:t>
      </w:r>
      <w:r>
        <w:rPr>
          <w:rFonts w:ascii="Times New Roman" w:cs="Times New Roman" w:hAnsi="Times New Roman"/>
          <w:szCs w:val="24"/>
        </w:rPr>
        <w:t xml:space="preserve"> compared to controls. This is consistent with previous studies that established IL-17A as a key driver in the Th17 inflammatory axis, promoting keratinocyte activation and neutrophil recruitment</w:t>
      </w:r>
      <w:r>
        <w:rPr>
          <w:rFonts w:ascii="Times New Roman" w:cs="Times New Roman" w:hAnsi="Times New Roman"/>
          <w:szCs w:val="24"/>
        </w:rPr>
        <w:t xml:space="preserve"> </w:t>
      </w:r>
      <w:r>
        <w:rPr>
          <w:rFonts w:ascii="Times New Roman" w:cs="Times New Roman" w:hAnsi="Times New Roman"/>
          <w:szCs w:val="24"/>
          <w:vertAlign w:val="superscript"/>
        </w:rPr>
        <w:t>(11)(12)</w:t>
      </w:r>
      <w:r>
        <w:rPr>
          <w:rFonts w:ascii="Times New Roman" w:cs="Times New Roman" w:hAnsi="Times New Roman"/>
          <w:szCs w:val="24"/>
        </w:rPr>
        <w:t>.</w:t>
      </w:r>
      <w:r>
        <w:rPr>
          <w:rFonts w:ascii="Times New Roman" w:cs="Times New Roman" w:hAnsi="Times New Roman"/>
          <w:szCs w:val="24"/>
        </w:rPr>
        <w:t xml:space="preserve"> </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 xml:space="preserve">The significant reduction of IL-17A after phototherapy in our study aligns with previous work </w:t>
      </w:r>
      <w:r>
        <w:rPr>
          <w:rFonts w:ascii="Times New Roman" w:cs="Times New Roman" w:hAnsi="Times New Roman"/>
          <w:szCs w:val="24"/>
        </w:rPr>
        <w:t>done by</w:t>
      </w:r>
      <w:r>
        <w:rPr>
          <w:rFonts w:ascii="Times New Roman" w:cs="Times New Roman" w:hAnsi="Times New Roman"/>
          <w:b/>
          <w:bCs/>
        </w:rPr>
        <w:t xml:space="preserve"> Ozawa</w:t>
      </w:r>
      <w:r>
        <w:rPr>
          <w:rFonts w:ascii="Times New Roman" w:cs="Times New Roman" w:hAnsi="Times New Roman"/>
          <w:b/>
          <w:bCs/>
          <w:szCs w:val="24"/>
        </w:rPr>
        <w:t xml:space="preserve"> et al (1999)</w:t>
      </w:r>
      <w:r>
        <w:rPr>
          <w:rFonts w:ascii="Times New Roman" w:cs="Times New Roman" w:hAnsi="Times New Roman"/>
          <w:szCs w:val="24"/>
        </w:rPr>
        <w:t xml:space="preserve"> </w:t>
      </w:r>
      <w:r>
        <w:rPr>
          <w:rFonts w:ascii="Times New Roman" w:cs="Times New Roman" w:hAnsi="Times New Roman"/>
          <w:szCs w:val="24"/>
        </w:rPr>
        <w:t>demonstrating that NB-UVB reduces IL-17A expression via modulation of T-cell subsets and dendritic cells. Furthermore, we found a strong negative correlation between IL-17A expression and post-treatment PASI score, suggesting that IL-17A could serve as a reliable marker of disease activity and treatment response.</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I</w:t>
      </w:r>
      <w:r>
        <w:rPr>
          <w:rFonts w:ascii="Times New Roman" w:cs="Times New Roman" w:hAnsi="Times New Roman"/>
          <w:szCs w:val="24"/>
        </w:rPr>
        <w:t xml:space="preserve">n contrast, </w:t>
      </w:r>
      <w:r>
        <w:rPr>
          <w:rFonts w:ascii="Times New Roman" w:cs="Times New Roman" w:hAnsi="Times New Roman"/>
          <w:szCs w:val="24"/>
        </w:rPr>
        <w:t>SREBP2 expression, was significantly lower in psoriatic patients than in healthy controls at baseline, indicating a possible impairment of cholesterol regulatory pathways in psoriasis. This downregulation may reflect increased lipid consumption or metabolic dysregulation at the lesional level</w:t>
      </w:r>
      <w:r>
        <w:rPr>
          <w:rFonts w:ascii="Times New Roman" w:cs="Times New Roman" w:hAnsi="Times New Roman"/>
          <w:szCs w:val="24"/>
        </w:rPr>
        <w:t>.</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Importantly, phototherapy was associated with a significant upregulation of SREBP2 expression in 60% of patients, suggesting partial restoration of lipid metabolism post-treatment. This observation is novel and implies a potential immunometabolic axis in psoriasis that responds to NB-UVB.</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 xml:space="preserve">Although a positive correlation was found between SREBP2 expression and metabolic parameters such as BMI and triglycerides, its relationship with disease severity (PASI) was not statistically significant. This could imply that SREBP2 is more reflective of local metabolic activity rather than direct immunologic inflammation. In contrast, IL-17A expression showed strong predictive value for </w:t>
      </w:r>
      <w:r>
        <w:rPr>
          <w:rFonts w:ascii="Times New Roman" w:cs="Times New Roman" w:hAnsi="Times New Roman"/>
          <w:szCs w:val="24"/>
        </w:rPr>
        <w:t>disease severity and treatment outcome, emerging as an independent predictor in multivariate analysis.</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Our data also suggest that the immunometabolic response to phototherapy is heterogeneous. While the majority of patients showed improvement in both markers, a subset exhibited either no change or paradoxical shifts. These findings may reflect underlying differences in disease phenotype, genetic predisposition, or metabolic background, warranting further stratified analysis in future studies.</w:t>
      </w:r>
    </w:p>
    <w:p>
      <w:pPr>
        <w:pStyle w:val="style1"/>
        <w:keepNext w:val="false"/>
        <w:keepLines w:val="false"/>
        <w:spacing w:before="120" w:after="240" w:lineRule="auto" w:line="360"/>
        <w:jc w:val="both"/>
        <w:rPr>
          <w:rFonts w:ascii="Times New Roman" w:hAnsi="Times New Roman"/>
          <w:color w:val="auto"/>
          <w:sz w:val="24"/>
          <w:szCs w:val="24"/>
        </w:rPr>
      </w:pPr>
      <w:r>
        <w:rPr>
          <w:rFonts w:ascii="Times New Roman" w:hAnsi="Times New Roman"/>
          <w:color w:val="auto"/>
          <w:sz w:val="24"/>
          <w:szCs w:val="24"/>
        </w:rPr>
        <w:t>Conclusion</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This study demonstrated that NB-UVB phototherapy significantly reduces the expression of the pro-inflammatory cytokine IL-17A and increases the expression of the metabolic regulator SREBP2 in psoriatic skin. These molecular changes were accompanied by significant clinical improvement as measured by PASI scores.</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The downregulation of IL-17A may represent a primary immunologic mechanism of NB-UVB efficacy, while the upregulation of SREBP2 suggests a possible role of phototherapy in restoring local metabolic balance. IL-17A expression was identified as a potential predictor of treatment response, highlighting its importance as a therapeutic target and biomarker.</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Our findings support the concept that psoriasis is not merely an immunologic disorder but also involves metabolic dysregulation at the tissue level. NB-UVB phototherapy exerts beneficial dual effects on both inflammation and lipid homeostasis.</w:t>
      </w:r>
    </w:p>
    <w:p>
      <w:pPr>
        <w:pStyle w:val="style0"/>
        <w:spacing w:before="120" w:after="240" w:lineRule="auto" w:line="360"/>
        <w:jc w:val="both"/>
        <w:rPr>
          <w:rFonts w:ascii="Times New Roman" w:cs="Times New Roman" w:hAnsi="Times New Roman"/>
          <w:szCs w:val="24"/>
          <w:rtl/>
        </w:rPr>
      </w:pPr>
      <w:r>
        <w:rPr>
          <w:rFonts w:ascii="Times New Roman" w:cs="Times New Roman" w:hAnsi="Times New Roman"/>
          <w:b/>
          <w:bCs/>
          <w:szCs w:val="24"/>
        </w:rPr>
        <w:t>Limitations</w:t>
      </w:r>
      <w:r>
        <w:rPr>
          <w:rFonts w:ascii="Times New Roman" w:cs="Times New Roman" w:hAnsi="Times New Roman"/>
          <w:szCs w:val="24"/>
        </w:rPr>
        <w:t xml:space="preserve"> of our study include the relatively small sample size and the lack of systemic biomarker evaluation (e.g., serum IL-17A or lipid panels). Nonetheless, the robust tissue-based IHC methodology and the paired analysis design strengthen the validity of our findings.</w:t>
      </w:r>
    </w:p>
    <w:p>
      <w:pPr>
        <w:pStyle w:val="style0"/>
        <w:spacing w:before="120" w:after="240" w:lineRule="auto" w:line="360"/>
        <w:jc w:val="both"/>
        <w:rPr>
          <w:rFonts w:ascii="Times New Roman" w:cs="Times New Roman" w:hAnsi="Times New Roman"/>
          <w:b/>
          <w:bCs/>
          <w:szCs w:val="24"/>
        </w:rPr>
      </w:pPr>
      <w:r>
        <w:rPr>
          <w:rFonts w:ascii="Times New Roman" w:cs="Times New Roman" w:hAnsi="Times New Roman"/>
          <w:b/>
          <w:bCs/>
          <w:szCs w:val="24"/>
        </w:rPr>
        <w:t>Recommendations:</w:t>
      </w:r>
    </w:p>
    <w:p>
      <w:pPr>
        <w:pStyle w:val="style0"/>
        <w:spacing w:before="120" w:after="240" w:lineRule="auto" w:line="360"/>
        <w:jc w:val="both"/>
        <w:rPr>
          <w:rFonts w:ascii="Times New Roman" w:cs="Times New Roman" w:hAnsi="Times New Roman"/>
          <w:szCs w:val="24"/>
        </w:rPr>
      </w:pPr>
      <w:r>
        <w:rPr>
          <w:rFonts w:ascii="Times New Roman" w:cs="Times New Roman" w:hAnsi="Times New Roman"/>
          <w:szCs w:val="24"/>
        </w:rPr>
        <w:t>Future studies with larger cohorts and systemic biomarker analysis are recommended to further explore the immunometabolic axis in psoriasis and its modulation by phototherapy.</w:t>
      </w:r>
    </w:p>
    <w:p>
      <w:pPr>
        <w:pStyle w:val="style1"/>
        <w:keepNext w:val="false"/>
        <w:keepLines w:val="false"/>
        <w:spacing w:before="120" w:after="240" w:lineRule="auto" w:line="360"/>
        <w:jc w:val="both"/>
        <w:rPr>
          <w:rFonts w:ascii="Times New Roman" w:hAnsi="Times New Roman"/>
          <w:color w:val="auto"/>
          <w:sz w:val="24"/>
          <w:szCs w:val="24"/>
        </w:rPr>
      </w:pPr>
      <w:r>
        <w:rPr>
          <w:rFonts w:ascii="Times New Roman" w:hAnsi="Times New Roman"/>
          <w:color w:val="auto"/>
          <w:sz w:val="24"/>
          <w:szCs w:val="24"/>
        </w:rPr>
        <w:t>References</w:t>
      </w:r>
    </w:p>
    <w:p>
      <w:pPr>
        <w:pStyle w:val="style94"/>
        <w:numPr>
          <w:ilvl w:val="0"/>
          <w:numId w:val="13"/>
        </w:numPr>
        <w:tabs>
          <w:tab w:val="clear" w:pos="360"/>
        </w:tabs>
        <w:spacing w:before="120" w:beforeAutospacing="false" w:after="240" w:afterAutospacing="false" w:lineRule="auto" w:line="360"/>
        <w:jc w:val="both"/>
        <w:rPr>
          <w:rFonts w:ascii="Times New Roman" w:cs="Times New Roman" w:hAnsi="Times New Roman"/>
        </w:rPr>
      </w:pPr>
      <w:r>
        <w:rPr>
          <w:rFonts w:ascii="Times New Roman" w:cs="Times New Roman" w:hAnsi="Times New Roman"/>
          <w:b/>
          <w:bCs/>
        </w:rPr>
        <w:t>Lowes, M. A., Bowcock, A. M., &amp; Krueger, J. G. (2007)</w:t>
      </w:r>
      <w:r>
        <w:rPr>
          <w:rFonts w:ascii="Times New Roman" w:cs="Times New Roman" w:hAnsi="Times New Roman"/>
          <w:b/>
          <w:bCs/>
        </w:rPr>
        <w:t>:</w:t>
      </w:r>
      <w:r>
        <w:rPr>
          <w:rFonts w:ascii="Times New Roman" w:cs="Times New Roman" w:hAnsi="Times New Roman"/>
        </w:rPr>
        <w:t xml:space="preserve"> Pathogenesis and therapy of psoriasis. </w:t>
      </w:r>
      <w:r>
        <w:rPr>
          <w:rStyle w:val="style88"/>
          <w:rFonts w:ascii="Times New Roman" w:cs="Times New Roman" w:hAnsi="Times New Roman"/>
        </w:rPr>
        <w:t>Nature, 445</w:t>
      </w:r>
      <w:r>
        <w:rPr>
          <w:rFonts w:ascii="Times New Roman" w:cs="Times New Roman" w:hAnsi="Times New Roman"/>
        </w:rPr>
        <w:t>(7130), 866–873. https://doi.org/10.1038/nature05663</w:t>
      </w:r>
    </w:p>
    <w:p>
      <w:pPr>
        <w:pStyle w:val="style94"/>
        <w:numPr>
          <w:ilvl w:val="0"/>
          <w:numId w:val="13"/>
        </w:numPr>
        <w:tabs>
          <w:tab w:val="clear" w:pos="360"/>
        </w:tabs>
        <w:spacing w:before="120" w:beforeAutospacing="false" w:after="240" w:afterAutospacing="false" w:lineRule="auto" w:line="360"/>
        <w:jc w:val="both"/>
        <w:rPr>
          <w:rFonts w:ascii="Times New Roman" w:cs="Times New Roman" w:hAnsi="Times New Roman"/>
        </w:rPr>
      </w:pPr>
      <w:r>
        <w:rPr>
          <w:rFonts w:ascii="Times New Roman" w:cs="Times New Roman" w:hAnsi="Times New Roman"/>
          <w:b/>
          <w:bCs/>
        </w:rPr>
        <w:t>Nickoloff, B. J., &amp; Nestle, F. O. (2004)</w:t>
      </w:r>
      <w:r>
        <w:rPr>
          <w:rFonts w:ascii="Times New Roman" w:cs="Times New Roman" w:hAnsi="Times New Roman"/>
          <w:b/>
          <w:bCs/>
        </w:rPr>
        <w:t>:</w:t>
      </w:r>
      <w:r>
        <w:rPr>
          <w:rFonts w:ascii="Times New Roman" w:cs="Times New Roman" w:hAnsi="Times New Roman"/>
        </w:rPr>
        <w:t xml:space="preserve">Recent insights into the immunopathogenesis of psoriasis provide new therapeutic opportunities. </w:t>
      </w:r>
      <w:r>
        <w:rPr>
          <w:rStyle w:val="style88"/>
          <w:rFonts w:ascii="Times New Roman" w:cs="Times New Roman" w:hAnsi="Times New Roman"/>
        </w:rPr>
        <w:t>The Journal of Clinical Investigation, 113</w:t>
      </w:r>
      <w:r>
        <w:rPr>
          <w:rFonts w:ascii="Times New Roman" w:cs="Times New Roman" w:hAnsi="Times New Roman"/>
        </w:rPr>
        <w:t>(12), 1664–1675. https://doi.org/10.1172/JCI21590</w:t>
      </w:r>
    </w:p>
    <w:p>
      <w:pPr>
        <w:pStyle w:val="style94"/>
        <w:numPr>
          <w:ilvl w:val="0"/>
          <w:numId w:val="13"/>
        </w:numPr>
        <w:tabs>
          <w:tab w:val="clear" w:pos="360"/>
        </w:tabs>
        <w:spacing w:before="120" w:beforeAutospacing="false" w:after="240" w:afterAutospacing="false" w:lineRule="auto" w:line="360"/>
        <w:jc w:val="both"/>
        <w:rPr>
          <w:rFonts w:ascii="Times New Roman" w:cs="Times New Roman" w:hAnsi="Times New Roman"/>
        </w:rPr>
      </w:pPr>
      <w:r>
        <w:rPr>
          <w:rFonts w:ascii="Times New Roman" w:cs="Times New Roman" w:hAnsi="Times New Roman"/>
          <w:b/>
          <w:bCs/>
        </w:rPr>
        <w:t>Raychaudhuri, S. P., &amp; Raychaudhuri, S. K. (2013)</w:t>
      </w:r>
      <w:r>
        <w:rPr>
          <w:rFonts w:ascii="Times New Roman" w:cs="Times New Roman" w:hAnsi="Times New Roman"/>
          <w:b/>
          <w:bCs/>
        </w:rPr>
        <w:t>:</w:t>
      </w:r>
      <w:r>
        <w:rPr>
          <w:rFonts w:ascii="Times New Roman" w:cs="Times New Roman" w:hAnsi="Times New Roman"/>
        </w:rPr>
        <w:t xml:space="preserve"> IL-17 in psoriasis: A critical review. </w:t>
      </w:r>
      <w:r>
        <w:rPr>
          <w:rStyle w:val="style88"/>
          <w:rFonts w:ascii="Times New Roman" w:cs="Times New Roman" w:hAnsi="Times New Roman"/>
        </w:rPr>
        <w:t>Clinical Reviews in Allergy &amp; Immunology, 44</w:t>
      </w:r>
      <w:r>
        <w:rPr>
          <w:rFonts w:ascii="Times New Roman" w:cs="Times New Roman" w:hAnsi="Times New Roman"/>
        </w:rPr>
        <w:t>(2), 183–193. https://doi.org/10.1007/s12016-012-8326-5</w:t>
      </w:r>
    </w:p>
    <w:p>
      <w:pPr>
        <w:pStyle w:val="style94"/>
        <w:numPr>
          <w:ilvl w:val="0"/>
          <w:numId w:val="13"/>
        </w:numPr>
        <w:tabs>
          <w:tab w:val="clear" w:pos="360"/>
        </w:tabs>
        <w:spacing w:before="120" w:beforeAutospacing="false" w:after="240" w:afterAutospacing="false" w:lineRule="auto" w:line="360"/>
        <w:jc w:val="both"/>
        <w:rPr>
          <w:rFonts w:ascii="Times New Roman" w:cs="Times New Roman" w:hAnsi="Times New Roman"/>
        </w:rPr>
      </w:pPr>
      <w:r>
        <w:rPr>
          <w:rFonts w:ascii="Times New Roman" w:cs="Times New Roman" w:hAnsi="Times New Roman"/>
          <w:b/>
          <w:bCs/>
        </w:rPr>
        <w:t>Shrestha, S., Grönhagen, C. M., Nyren, P., &amp; Wahlgren, C. F. (2018)</w:t>
      </w:r>
      <w:r>
        <w:rPr>
          <w:rFonts w:ascii="Times New Roman" w:cs="Times New Roman" w:hAnsi="Times New Roman"/>
          <w:b/>
          <w:bCs/>
        </w:rPr>
        <w:t>:</w:t>
      </w:r>
      <w:r>
        <w:rPr>
          <w:rFonts w:ascii="Times New Roman" w:cs="Times New Roman" w:hAnsi="Times New Roman"/>
          <w:b/>
          <w:bCs/>
        </w:rPr>
        <w:t xml:space="preserve"> </w:t>
      </w:r>
      <w:r>
        <w:rPr>
          <w:rFonts w:ascii="Times New Roman" w:cs="Times New Roman" w:hAnsi="Times New Roman"/>
        </w:rPr>
        <w:t xml:space="preserve">Effect of narrowband UVB phototherapy on cytokine levels in psoriasis. </w:t>
      </w:r>
      <w:r>
        <w:rPr>
          <w:rStyle w:val="style88"/>
          <w:rFonts w:ascii="Times New Roman" w:cs="Times New Roman" w:hAnsi="Times New Roman"/>
        </w:rPr>
        <w:t>Photodermatology, Photoimmunology &amp; Photomedicine, 34</w:t>
      </w:r>
      <w:r>
        <w:rPr>
          <w:rFonts w:ascii="Times New Roman" w:cs="Times New Roman" w:hAnsi="Times New Roman"/>
        </w:rPr>
        <w:t>(4), 249–256. https://doi.org/10.1111/phpp.12349</w:t>
      </w:r>
    </w:p>
    <w:p>
      <w:pPr>
        <w:pStyle w:val="style94"/>
        <w:numPr>
          <w:ilvl w:val="0"/>
          <w:numId w:val="13"/>
        </w:numPr>
        <w:tabs>
          <w:tab w:val="clear" w:pos="360"/>
        </w:tabs>
        <w:spacing w:before="120" w:beforeAutospacing="false" w:after="240" w:afterAutospacing="false" w:lineRule="auto" w:line="360"/>
        <w:jc w:val="both"/>
        <w:rPr>
          <w:rFonts w:ascii="Times New Roman" w:cs="Times New Roman" w:hAnsi="Times New Roman"/>
        </w:rPr>
      </w:pPr>
      <w:r>
        <w:rPr>
          <w:rFonts w:ascii="Times New Roman" w:cs="Times New Roman" w:hAnsi="Times New Roman"/>
          <w:b/>
          <w:bCs/>
        </w:rPr>
        <w:t>Im, S. S., &amp; Osborne, T. F. (2011)</w:t>
      </w:r>
      <w:r>
        <w:rPr>
          <w:rFonts w:ascii="Times New Roman" w:cs="Times New Roman" w:hAnsi="Times New Roman"/>
          <w:b/>
          <w:bCs/>
        </w:rPr>
        <w:t xml:space="preserve"> :</w:t>
      </w:r>
      <w:r>
        <w:rPr>
          <w:rFonts w:ascii="Times New Roman" w:cs="Times New Roman" w:hAnsi="Times New Roman"/>
          <w:b/>
          <w:bCs/>
        </w:rPr>
        <w:t xml:space="preserve"> </w:t>
      </w:r>
      <w:r>
        <w:rPr>
          <w:rFonts w:ascii="Times New Roman" w:cs="Times New Roman" w:hAnsi="Times New Roman"/>
        </w:rPr>
        <w:t xml:space="preserve">SREBP transcription factors in lipid metabolism and inflammation. </w:t>
      </w:r>
      <w:r>
        <w:rPr>
          <w:rStyle w:val="style88"/>
          <w:rFonts w:ascii="Times New Roman" w:cs="Times New Roman" w:hAnsi="Times New Roman"/>
        </w:rPr>
        <w:t>Trends in Endocrinology &amp; Metabolism, 22</w:t>
      </w:r>
      <w:r>
        <w:rPr>
          <w:rFonts w:ascii="Times New Roman" w:cs="Times New Roman" w:hAnsi="Times New Roman"/>
        </w:rPr>
        <w:t>(2), 65–73. https://doi.org/10.1016/j.tem.2010.10.003</w:t>
      </w:r>
    </w:p>
    <w:p>
      <w:pPr>
        <w:pStyle w:val="style94"/>
        <w:numPr>
          <w:ilvl w:val="0"/>
          <w:numId w:val="13"/>
        </w:numPr>
        <w:tabs>
          <w:tab w:val="clear" w:pos="360"/>
        </w:tabs>
        <w:spacing w:before="120" w:beforeAutospacing="false" w:after="240" w:afterAutospacing="false" w:lineRule="auto" w:line="360"/>
        <w:jc w:val="both"/>
        <w:rPr>
          <w:rFonts w:ascii="Times New Roman" w:cs="Times New Roman" w:hAnsi="Times New Roman"/>
        </w:rPr>
      </w:pPr>
      <w:r>
        <w:rPr>
          <w:rFonts w:ascii="Times New Roman" w:cs="Times New Roman" w:hAnsi="Times New Roman"/>
          <w:b/>
          <w:bCs/>
        </w:rPr>
        <w:t>Boehncke, W. H., Boehncke, S., Tobin, A. M., &amp; Kirby, B. (2011</w:t>
      </w:r>
      <w:r>
        <w:rPr>
          <w:rFonts w:ascii="Times New Roman" w:cs="Times New Roman" w:hAnsi="Times New Roman"/>
          <w:b/>
          <w:bCs/>
        </w:rPr>
        <w:t>):</w:t>
      </w:r>
      <w:r>
        <w:rPr>
          <w:rFonts w:ascii="Times New Roman" w:cs="Times New Roman" w:hAnsi="Times New Roman"/>
          <w:b/>
          <w:bCs/>
        </w:rPr>
        <w:t xml:space="preserve"> </w:t>
      </w:r>
      <w:r>
        <w:rPr>
          <w:rFonts w:ascii="Times New Roman" w:cs="Times New Roman" w:hAnsi="Times New Roman"/>
        </w:rPr>
        <w:t xml:space="preserve">The ‘psoriatic march’: A concept of how severe psoriasis may drive cardiovascular comorbidity. </w:t>
      </w:r>
      <w:r>
        <w:rPr>
          <w:rStyle w:val="style88"/>
          <w:rFonts w:ascii="Times New Roman" w:cs="Times New Roman" w:hAnsi="Times New Roman"/>
        </w:rPr>
        <w:t>Experimental Dermatology, 20</w:t>
      </w:r>
      <w:r>
        <w:rPr>
          <w:rFonts w:ascii="Times New Roman" w:cs="Times New Roman" w:hAnsi="Times New Roman"/>
        </w:rPr>
        <w:t>(4), 303–307. https://doi.org/10.1111/j.1600-0625.2011.01261.x</w:t>
      </w:r>
    </w:p>
    <w:bookmarkStart w:id="3" w:name="_Hlk210127950"/>
    <w:p>
      <w:pPr>
        <w:pStyle w:val="style94"/>
        <w:numPr>
          <w:ilvl w:val="0"/>
          <w:numId w:val="13"/>
        </w:numPr>
        <w:tabs>
          <w:tab w:val="clear" w:pos="360"/>
        </w:tabs>
        <w:spacing w:before="120" w:beforeAutospacing="false" w:after="240" w:afterAutospacing="false" w:lineRule="auto" w:line="360"/>
        <w:jc w:val="both"/>
        <w:rPr>
          <w:rFonts w:ascii="Times New Roman" w:cs="Times New Roman" w:hAnsi="Times New Roman"/>
        </w:rPr>
      </w:pPr>
      <w:r>
        <w:rPr>
          <w:rFonts w:ascii="Times New Roman" w:cs="Times New Roman" w:hAnsi="Times New Roman"/>
          <w:b/>
          <w:bCs/>
        </w:rPr>
        <w:t>Ozawa</w:t>
      </w:r>
      <w:bookmarkEnd w:id="3"/>
      <w:r>
        <w:rPr>
          <w:rFonts w:ascii="Times New Roman" w:cs="Times New Roman" w:hAnsi="Times New Roman"/>
          <w:b/>
          <w:bCs/>
        </w:rPr>
        <w:t xml:space="preserve">, M., Ferenczi, K., Kikuchi, T., Cardinale, I., Austin, L. M., </w:t>
      </w:r>
      <w:r>
        <w:rPr>
          <w:rFonts w:ascii="Times New Roman" w:cs="Times New Roman" w:hAnsi="Times New Roman"/>
          <w:b/>
          <w:bCs/>
        </w:rPr>
        <w:t>et al</w:t>
      </w:r>
      <w:r>
        <w:rPr>
          <w:rFonts w:ascii="Times New Roman" w:cs="Times New Roman" w:hAnsi="Times New Roman"/>
          <w:b/>
          <w:bCs/>
        </w:rPr>
        <w:t>. (1999)</w:t>
      </w:r>
      <w:r>
        <w:rPr>
          <w:rFonts w:ascii="Times New Roman" w:cs="Times New Roman" w:hAnsi="Times New Roman"/>
          <w:b/>
          <w:bCs/>
        </w:rPr>
        <w:t>:</w:t>
      </w:r>
      <w:r>
        <w:rPr>
          <w:rFonts w:ascii="Times New Roman" w:cs="Times New Roman" w:hAnsi="Times New Roman"/>
        </w:rPr>
        <w:t xml:space="preserve"> 2-week NB-UVB therapy induces apoptosis of T cells and dendritic cells in psoriatic skin. </w:t>
      </w:r>
      <w:r>
        <w:rPr>
          <w:rStyle w:val="style88"/>
          <w:rFonts w:ascii="Times New Roman" w:cs="Times New Roman" w:hAnsi="Times New Roman"/>
        </w:rPr>
        <w:t>The Journal of Investigative Dermatology, 113</w:t>
      </w:r>
      <w:r>
        <w:rPr>
          <w:rFonts w:ascii="Times New Roman" w:cs="Times New Roman" w:hAnsi="Times New Roman"/>
        </w:rPr>
        <w:t xml:space="preserve">(2), 322–329. </w:t>
      </w:r>
      <w:r>
        <w:rPr/>
        <w:fldChar w:fldCharType="begin"/>
      </w:r>
      <w:r>
        <w:instrText xml:space="preserve"> HYPERLINK "https://doi.org/10.1046/j.1523-1747.1999.00791.x" </w:instrText>
      </w:r>
      <w:r>
        <w:rPr/>
        <w:fldChar w:fldCharType="separate"/>
      </w:r>
      <w:r>
        <w:rPr>
          <w:rStyle w:val="style85"/>
          <w:rFonts w:ascii="Times New Roman" w:cs="Times New Roman" w:hAnsi="Times New Roman"/>
        </w:rPr>
        <w:t>https://doi.org/10.1046/j.1523-1747.1999.00791.x</w:t>
      </w:r>
      <w:r>
        <w:rPr/>
        <w:fldChar w:fldCharType="end"/>
      </w:r>
    </w:p>
    <w:p>
      <w:pPr>
        <w:pStyle w:val="style94"/>
        <w:numPr>
          <w:ilvl w:val="0"/>
          <w:numId w:val="13"/>
        </w:numPr>
        <w:tabs>
          <w:tab w:val="clear" w:pos="360"/>
        </w:tabs>
        <w:spacing w:before="120" w:beforeAutospacing="false" w:after="240" w:afterAutospacing="false" w:lineRule="auto" w:line="360"/>
        <w:ind w:left="180" w:hanging="270"/>
        <w:jc w:val="both"/>
        <w:rPr>
          <w:rFonts w:ascii="Times New Roman" w:cs="Times New Roman" w:hAnsi="Times New Roman"/>
        </w:rPr>
      </w:pPr>
      <w:r>
        <w:rPr>
          <w:rFonts w:ascii="Times New Roman" w:cs="Times New Roman" w:hAnsi="Times New Roman"/>
          <w:b/>
          <w:bCs/>
        </w:rPr>
        <w:t>Armstrong, A. W., &amp; Harskamp, C. T.</w:t>
      </w:r>
      <w:r>
        <w:rPr>
          <w:rFonts w:ascii="Times New Roman" w:cs="Times New Roman" w:hAnsi="Times New Roman"/>
        </w:rPr>
        <w:t xml:space="preserve"> (2012)</w:t>
      </w:r>
      <w:r>
        <w:rPr>
          <w:rFonts w:ascii="Times New Roman" w:cs="Times New Roman" w:hAnsi="Times New Roman" w:hint="cs"/>
          <w:rtl/>
        </w:rPr>
        <w:t>:</w:t>
      </w:r>
      <w:r>
        <w:rPr>
          <w:rFonts w:ascii="Times New Roman" w:cs="Times New Roman" w:hAnsi="Times New Roman"/>
        </w:rPr>
        <w:t xml:space="preserve"> Psoriasis and metabolic disorders: Epidemiology and pathophysiology. Journal of the American Academy of Dermatology, 67(6), 1074-1084. https://doi.org/10.1016/j.jaad.2012.05.012</w:t>
      </w:r>
      <w:r>
        <w:rPr>
          <w:rFonts w:ascii="Times New Roman" w:cs="Times New Roman" w:hAnsi="Times New Roman"/>
        </w:rPr>
        <w:t>.</w:t>
      </w:r>
    </w:p>
    <w:p>
      <w:pPr>
        <w:pStyle w:val="style94"/>
        <w:numPr>
          <w:ilvl w:val="0"/>
          <w:numId w:val="13"/>
        </w:numPr>
        <w:tabs>
          <w:tab w:val="clear" w:pos="360"/>
        </w:tabs>
        <w:spacing w:lineRule="auto" w:line="360"/>
        <w:ind w:left="180" w:hanging="270"/>
        <w:jc w:val="both"/>
        <w:rPr>
          <w:rFonts w:ascii="Times New Roman" w:cs="Times New Roman" w:hAnsi="Times New Roman"/>
        </w:rPr>
      </w:pPr>
      <w:r>
        <w:rPr>
          <w:b/>
          <w:bCs/>
        </w:rPr>
        <w:t>Fowler, J. W. M., Zhang, R., Tao, B., &amp; Sessa, W. C. (2022):</w:t>
      </w:r>
      <w:r>
        <w:t xml:space="preserve"> </w:t>
      </w:r>
      <w:r>
        <w:rPr>
          <w:rFonts w:ascii="Times New Roman" w:cs="Times New Roman" w:hAnsi="Times New Roman"/>
        </w:rPr>
        <w:t xml:space="preserve">Inflammatory stress signaling via NF-κB alters accessible cholesterol to upregulate SREBP2 </w:t>
      </w:r>
      <w:r>
        <w:rPr>
          <w:rFonts w:ascii="Times New Roman" w:cs="Times New Roman" w:hAnsi="Times New Roman"/>
        </w:rPr>
        <w:t xml:space="preserve">transcriptional activity in endothelial cells. eLife, 11, e79529. https://doi.org/10.7554/eLife.79529 </w:t>
      </w:r>
    </w:p>
    <w:p>
      <w:pPr>
        <w:pStyle w:val="style94"/>
        <w:numPr>
          <w:ilvl w:val="0"/>
          <w:numId w:val="13"/>
        </w:numPr>
        <w:tabs>
          <w:tab w:val="clear" w:pos="360"/>
        </w:tabs>
        <w:spacing w:lineRule="auto" w:line="360"/>
        <w:jc w:val="both"/>
        <w:rPr/>
      </w:pPr>
      <w:r>
        <w:rPr>
          <w:b/>
          <w:bCs/>
        </w:rPr>
        <w:t xml:space="preserve">Fredriksson, T., &amp; Pettersson, U. (1978): </w:t>
      </w:r>
      <w:r>
        <w:rPr>
          <w:rStyle w:val="style88"/>
        </w:rPr>
        <w:t>Severe psoriasis — oral therapy with a new retinoid</w:t>
      </w:r>
      <w:r>
        <w:t xml:space="preserve">. </w:t>
      </w:r>
      <w:r>
        <w:rPr>
          <w:rStyle w:val="style88"/>
        </w:rPr>
        <w:t>Dermatologica</w:t>
      </w:r>
      <w:r>
        <w:rPr>
          <w:rStyle w:val="style88"/>
        </w:rPr>
        <w:t>, 157</w:t>
      </w:r>
      <w:r>
        <w:t>(4), 238–244.</w:t>
      </w:r>
    </w:p>
    <w:p>
      <w:pPr>
        <w:pStyle w:val="style94"/>
        <w:numPr>
          <w:ilvl w:val="0"/>
          <w:numId w:val="13"/>
        </w:numPr>
        <w:tabs>
          <w:tab w:val="clear" w:pos="360"/>
        </w:tabs>
        <w:spacing w:lineRule="auto" w:line="360"/>
        <w:ind w:left="180" w:hanging="270"/>
        <w:jc w:val="both"/>
        <w:rPr/>
      </w:pPr>
      <w:r>
        <w:rPr>
          <w:b/>
          <w:bCs/>
        </w:rPr>
        <w:t>Brembilla, N. C., Senra, L., &amp; Boehncke, W.-H. (2018)</w:t>
      </w:r>
      <w:r>
        <w:rPr>
          <w:rFonts w:hint="cs"/>
          <w:b/>
          <w:bCs/>
          <w:rtl/>
        </w:rPr>
        <w:t xml:space="preserve">: </w:t>
      </w:r>
      <w:r>
        <w:t xml:space="preserve"> The Immunologic Role of IL-17 in Psoriasis and Psoriatic Arthritis Pathogenesis. Clinical Reviews in Allergy &amp; Immunology, 55(3), 379-390. </w:t>
      </w:r>
    </w:p>
    <w:p>
      <w:pPr>
        <w:pStyle w:val="style179"/>
        <w:tabs>
          <w:tab w:val="left" w:leader="none" w:pos="0"/>
        </w:tabs>
        <w:spacing w:lineRule="auto" w:line="360"/>
        <w:ind w:left="180" w:hanging="270"/>
        <w:jc w:val="both"/>
        <w:rPr/>
      </w:pPr>
    </w:p>
    <w:p>
      <w:pPr>
        <w:pStyle w:val="style94"/>
        <w:numPr>
          <w:ilvl w:val="0"/>
          <w:numId w:val="13"/>
        </w:numPr>
        <w:tabs>
          <w:tab w:val="clear" w:pos="360"/>
        </w:tabs>
        <w:spacing w:lineRule="auto" w:line="360"/>
        <w:ind w:left="180" w:hanging="270"/>
        <w:jc w:val="both"/>
        <w:rPr/>
      </w:pPr>
      <w:r>
        <w:rPr>
          <w:b/>
          <w:bCs/>
        </w:rPr>
        <w:t>Johnston, A., Fritz, Y., Dawes, S. M., Diaconu, D., Al-Ali, D., Lee, S. E., et al. (2016):</w:t>
      </w:r>
      <w:r>
        <w:t xml:space="preserve"> IL-17A plays a central role in the expression of psoriasis signature genes through the induction of IκB-ζ in keratinocytes. Journal of Investigative Dermatology, 136(1), 153-161. </w:t>
      </w:r>
    </w:p>
    <w:p>
      <w:pPr>
        <w:pStyle w:val="style0"/>
        <w:tabs>
          <w:tab w:val="left" w:leader="none" w:pos="0"/>
        </w:tabs>
        <w:spacing w:before="120" w:after="240" w:lineRule="auto" w:line="360"/>
        <w:ind w:left="180" w:hanging="270"/>
        <w:jc w:val="both"/>
        <w:rPr>
          <w:rFonts w:ascii="Times New Roman" w:cs="Times New Roman" w:hAnsi="Times New Roman"/>
          <w:szCs w:val="24"/>
        </w:rPr>
      </w:pPr>
    </w:p>
    <w:sectPr>
      <w:footerReference w:type="default" r:id="rId9"/>
      <w:pgSz w:w="11907" w:h="16839" w:orient="portrait" w:code="9"/>
      <w:pgMar w:top="90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004030204"/>
    <w:charset w:val="00"/>
    <w:family w:val="roman"/>
    <w:pitch w:val="variable"/>
    <w:sig w:usb0="E00006FF" w:usb1="420024FF" w:usb2="02000000" w:usb3="00000000" w:csb0="0000019F" w:csb1="00000000"/>
  </w:font>
  <w:font w:name="MS Mincho">
    <w:altName w:val="ＭＳ 明朝"/>
    <w:panose1 w:val="02020609040002080304"/>
    <w:charset w:val="80"/>
    <w:family w:val="modern"/>
    <w:pitch w:val="fixed"/>
    <w:sig w:usb0="E00002FF" w:usb1="6AC7FDFB" w:usb2="08000012" w:usb3="00000000" w:csb0="0002009F" w:csb1="00000000"/>
  </w:font>
  <w:font w:name="Arial">
    <w:altName w:val="Arial"/>
    <w:panose1 w:val="020b0604020002020204"/>
    <w:charset w:val="00"/>
    <w:family w:val="swiss"/>
    <w:pitch w:val="variable"/>
    <w:sig w:usb0="E0002EFF" w:usb1="C000785B" w:usb2="00000009" w:usb3="00000000" w:csb0="000001FF" w:csb1="00000000"/>
  </w:font>
  <w:font w:name="Calibri">
    <w:altName w:val="Calibri"/>
    <w:panose1 w:val="020f0502020002030204"/>
    <w:charset w:val="00"/>
    <w:family w:val="swiss"/>
    <w:pitch w:val="variable"/>
    <w:sig w:usb0="E4002EFF" w:usb1="C200247B" w:usb2="00000009" w:usb3="00000000" w:csb0="000001FF" w:csb1="00000000"/>
  </w:font>
  <w:font w:name="MS Gothic">
    <w:altName w:val="ＭＳ ゴシック"/>
    <w:panose1 w:val="020b0609070002080204"/>
    <w:charset w:val="80"/>
    <w:family w:val="modern"/>
    <w:pitch w:val="fixed"/>
    <w:sig w:usb0="E00002FF" w:usb1="6AC7FDFB" w:usb2="08000012" w:usb3="00000000" w:csb0="0002009F" w:csb1="00000000"/>
  </w:font>
  <w:font w:name="Courier">
    <w:altName w:val="Courier"/>
    <w:panose1 w:val="02070409020002020404"/>
    <w:charset w:val="00"/>
    <w:family w:val="modern"/>
    <w:pitch w:val="fixed"/>
    <w:sig w:usb0="00000003" w:usb1="00000000" w:usb2="00000000" w:usb3="00000000" w:csb0="00000001" w:csb1="00000000"/>
  </w:font>
  <w:font w:name="Tahoma">
    <w:altName w:val="Tahoma"/>
    <w:panose1 w:val="020b0604030005040204"/>
    <w:charset w:val="00"/>
    <w:family w:val="swiss"/>
    <w:pitch w:val="variable"/>
    <w:sig w:usb0="E1002EFF" w:usb1="C000605B" w:usb2="00000029" w:usb3="00000000" w:csb0="000101FF" w:csb1="00000000"/>
  </w:font>
  <w:font w:name="ＭＳ 明朝">
    <w:altName w:val=""/>
    <w:panose1 w:val="00000000000000000000"/>
    <w:charset w:val="00"/>
    <w:family w:val="auto"/>
    <w:pitch w:val="default"/>
    <w:sig w:usb0="E0002AFF" w:usb1="C0007841" w:usb2="00000009" w:usb3="00000000" w:csb0="000001FF" w:csb1="00000000"/>
  </w:font>
  <w:font w:name="ＭＳ ゴシック">
    <w:altName w:val=""/>
    <w:panose1 w:val="00000000000000000000"/>
    <w:charset w:val="00"/>
    <w:family w:val="auto"/>
    <w:pitch w:val="default"/>
    <w:sig w:usb0="E0002AFF" w:usb1="C0007841"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C310EC42"/>
    <w:lvl w:ilvl="0">
      <w:start w:val="1"/>
      <w:numFmt w:val="decimal"/>
      <w:lvlText w:val="%1."/>
      <w:lvlJc w:val="left"/>
      <w:pPr>
        <w:tabs>
          <w:tab w:val="left" w:leader="none" w:pos="1800"/>
        </w:tabs>
        <w:ind w:left="1800" w:hanging="360"/>
      </w:pPr>
    </w:lvl>
  </w:abstractNum>
  <w:abstractNum w:abstractNumId="1">
    <w:nsid w:val="00000001"/>
    <w:multiLevelType w:val="singleLevel"/>
    <w:tmpl w:val="E4089024"/>
    <w:lvl w:ilvl="0">
      <w:start w:val="1"/>
      <w:numFmt w:val="decimal"/>
      <w:lvlText w:val="%1."/>
      <w:lvlJc w:val="left"/>
      <w:pPr>
        <w:tabs>
          <w:tab w:val="left" w:leader="none" w:pos="1440"/>
        </w:tabs>
        <w:ind w:left="1440" w:hanging="360"/>
      </w:pPr>
    </w:lvl>
  </w:abstractNum>
  <w:abstractNum w:abstractNumId="2">
    <w:nsid w:val="00000002"/>
    <w:multiLevelType w:val="singleLevel"/>
    <w:tmpl w:val="FB12693A"/>
    <w:lvl w:ilvl="0">
      <w:start w:val="1"/>
      <w:numFmt w:val="decimal"/>
      <w:pStyle w:val="style59"/>
      <w:lvlText w:val="%1."/>
      <w:lvlJc w:val="left"/>
      <w:pPr>
        <w:tabs>
          <w:tab w:val="left" w:leader="none" w:pos="1080"/>
        </w:tabs>
        <w:ind w:left="1080" w:hanging="360"/>
      </w:pPr>
    </w:lvl>
  </w:abstractNum>
  <w:abstractNum w:abstractNumId="3">
    <w:nsid w:val="00000003"/>
    <w:multiLevelType w:val="singleLevel"/>
    <w:tmpl w:val="38441652"/>
    <w:lvl w:ilvl="0">
      <w:start w:val="1"/>
      <w:numFmt w:val="decimal"/>
      <w:pStyle w:val="style58"/>
      <w:lvlText w:val="%1."/>
      <w:lvlJc w:val="left"/>
      <w:pPr>
        <w:tabs>
          <w:tab w:val="left" w:leader="none" w:pos="720"/>
        </w:tabs>
        <w:ind w:left="720" w:hanging="360"/>
      </w:pPr>
    </w:lvl>
  </w:abstractNum>
  <w:abstractNum w:abstractNumId="4">
    <w:nsid w:val="00000004"/>
    <w:multiLevelType w:val="singleLevel"/>
    <w:tmpl w:val="171AC3A4"/>
    <w:lvl w:ilvl="0">
      <w:start w:val="1"/>
      <w:numFmt w:val="bullet"/>
      <w:lvlText w:val=""/>
      <w:lvlJc w:val="left"/>
      <w:pPr>
        <w:tabs>
          <w:tab w:val="left" w:leader="none" w:pos="1440"/>
        </w:tabs>
        <w:ind w:left="1440" w:hanging="360"/>
      </w:pPr>
      <w:rPr>
        <w:rFonts w:ascii="Symbol" w:hAnsi="Symbol" w:hint="default"/>
      </w:rPr>
    </w:lvl>
  </w:abstractNum>
  <w:abstractNum w:abstractNumId="5">
    <w:nsid w:val="00000005"/>
    <w:multiLevelType w:val="singleLevel"/>
    <w:tmpl w:val="F3EAFDEC"/>
    <w:lvl w:ilvl="0">
      <w:start w:val="1"/>
      <w:numFmt w:val="bullet"/>
      <w:pStyle w:val="style55"/>
      <w:lvlText w:val=""/>
      <w:lvlJc w:val="left"/>
      <w:pPr>
        <w:tabs>
          <w:tab w:val="left" w:leader="none" w:pos="1080"/>
        </w:tabs>
        <w:ind w:left="1080" w:hanging="360"/>
      </w:pPr>
      <w:rPr>
        <w:rFonts w:ascii="Symbol" w:hAnsi="Symbol" w:hint="default"/>
      </w:rPr>
    </w:lvl>
  </w:abstractNum>
  <w:abstractNum w:abstractNumId="6">
    <w:nsid w:val="00000006"/>
    <w:multiLevelType w:val="singleLevel"/>
    <w:tmpl w:val="3D1EFFD4"/>
    <w:lvl w:ilvl="0">
      <w:start w:val="1"/>
      <w:numFmt w:val="bullet"/>
      <w:pStyle w:val="style54"/>
      <w:lvlText w:val=""/>
      <w:lvlJc w:val="left"/>
      <w:pPr>
        <w:tabs>
          <w:tab w:val="left" w:leader="none" w:pos="720"/>
        </w:tabs>
        <w:ind w:left="720" w:hanging="360"/>
      </w:pPr>
      <w:rPr>
        <w:rFonts w:ascii="Symbol" w:hAnsi="Symbol" w:hint="default"/>
      </w:rPr>
    </w:lvl>
  </w:abstractNum>
  <w:abstractNum w:abstractNumId="7">
    <w:nsid w:val="00000007"/>
    <w:multiLevelType w:val="singleLevel"/>
    <w:tmpl w:val="D0A62B40"/>
    <w:lvl w:ilvl="0">
      <w:start w:val="1"/>
      <w:numFmt w:val="decimal"/>
      <w:pStyle w:val="style49"/>
      <w:lvlText w:val="%1."/>
      <w:lvlJc w:val="left"/>
      <w:pPr>
        <w:tabs>
          <w:tab w:val="left" w:leader="none" w:pos="360"/>
        </w:tabs>
        <w:ind w:left="360" w:hanging="360"/>
      </w:pPr>
    </w:lvl>
  </w:abstractNum>
  <w:abstractNum w:abstractNumId="8">
    <w:nsid w:val="00000008"/>
    <w:multiLevelType w:val="singleLevel"/>
    <w:tmpl w:val="29761A62"/>
    <w:lvl w:ilvl="0">
      <w:start w:val="1"/>
      <w:numFmt w:val="bullet"/>
      <w:pStyle w:val="style48"/>
      <w:lvlText w:val=""/>
      <w:lvlJc w:val="left"/>
      <w:pPr>
        <w:tabs>
          <w:tab w:val="left" w:leader="none" w:pos="360"/>
        </w:tabs>
        <w:ind w:left="360" w:hanging="360"/>
      </w:pPr>
      <w:rPr>
        <w:rFonts w:ascii="Symbol" w:hAnsi="Symbol" w:hint="default"/>
      </w:rPr>
    </w:lvl>
  </w:abstractNum>
  <w:abstractNum w:abstractNumId="9">
    <w:nsid w:val="00000009"/>
    <w:multiLevelType w:val="multilevel"/>
    <w:tmpl w:val="A386D93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A07897D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9C5E45EA"/>
    <w:lvl w:ilvl="0">
      <w:start w:val="1"/>
      <w:numFmt w:val="decimal"/>
      <w:lvlText w:val="%1."/>
      <w:lvlJc w:val="left"/>
      <w:pPr>
        <w:tabs>
          <w:tab w:val="left" w:leader="none" w:pos="360"/>
        </w:tabs>
        <w:ind w:left="360" w:hanging="360"/>
      </w:pPr>
    </w:lvl>
    <w:lvl w:ilvl="1" w:tentative="1">
      <w:start w:val="1"/>
      <w:numFmt w:val="decimal"/>
      <w:lvlText w:val="%2."/>
      <w:lvlJc w:val="left"/>
      <w:pPr>
        <w:tabs>
          <w:tab w:val="left" w:leader="none" w:pos="1080"/>
        </w:tabs>
        <w:ind w:left="1080" w:hanging="360"/>
      </w:pPr>
    </w:lvl>
    <w:lvl w:ilvl="2" w:tentative="1">
      <w:start w:val="1"/>
      <w:numFmt w:val="decimal"/>
      <w:lvlText w:val="%3."/>
      <w:lvlJc w:val="left"/>
      <w:pPr>
        <w:tabs>
          <w:tab w:val="left" w:leader="none" w:pos="1800"/>
        </w:tabs>
        <w:ind w:left="1800" w:hanging="360"/>
      </w:pPr>
    </w:lvl>
    <w:lvl w:ilvl="3" w:tentative="1">
      <w:start w:val="1"/>
      <w:numFmt w:val="decimal"/>
      <w:lvlText w:val="%4."/>
      <w:lvlJc w:val="left"/>
      <w:pPr>
        <w:tabs>
          <w:tab w:val="left" w:leader="none" w:pos="2520"/>
        </w:tabs>
        <w:ind w:left="2520" w:hanging="360"/>
      </w:pPr>
    </w:lvl>
    <w:lvl w:ilvl="4" w:tentative="1">
      <w:start w:val="1"/>
      <w:numFmt w:val="decimal"/>
      <w:lvlText w:val="%5."/>
      <w:lvlJc w:val="left"/>
      <w:pPr>
        <w:tabs>
          <w:tab w:val="left" w:leader="none" w:pos="3240"/>
        </w:tabs>
        <w:ind w:left="3240" w:hanging="360"/>
      </w:pPr>
    </w:lvl>
    <w:lvl w:ilvl="5" w:tentative="1">
      <w:start w:val="1"/>
      <w:numFmt w:val="decimal"/>
      <w:lvlText w:val="%6."/>
      <w:lvlJc w:val="left"/>
      <w:pPr>
        <w:tabs>
          <w:tab w:val="left" w:leader="none" w:pos="3960"/>
        </w:tabs>
        <w:ind w:left="3960" w:hanging="360"/>
      </w:pPr>
    </w:lvl>
    <w:lvl w:ilvl="6" w:tentative="1">
      <w:start w:val="1"/>
      <w:numFmt w:val="decimal"/>
      <w:lvlText w:val="%7."/>
      <w:lvlJc w:val="left"/>
      <w:pPr>
        <w:tabs>
          <w:tab w:val="left" w:leader="none" w:pos="4680"/>
        </w:tabs>
        <w:ind w:left="4680" w:hanging="360"/>
      </w:pPr>
    </w:lvl>
    <w:lvl w:ilvl="7" w:tentative="1">
      <w:start w:val="1"/>
      <w:numFmt w:val="decimal"/>
      <w:lvlText w:val="%8."/>
      <w:lvlJc w:val="left"/>
      <w:pPr>
        <w:tabs>
          <w:tab w:val="left" w:leader="none" w:pos="5400"/>
        </w:tabs>
        <w:ind w:left="5400" w:hanging="360"/>
      </w:pPr>
    </w:lvl>
    <w:lvl w:ilvl="8" w:tentative="1">
      <w:start w:val="1"/>
      <w:numFmt w:val="decimal"/>
      <w:lvlText w:val="%9."/>
      <w:lvlJc w:val="left"/>
      <w:pPr>
        <w:tabs>
          <w:tab w:val="left" w:leader="none" w:pos="6120"/>
        </w:tabs>
        <w:ind w:left="6120" w:hanging="360"/>
      </w:pPr>
    </w:lvl>
  </w:abstractNum>
  <w:abstractNum w:abstractNumId="12">
    <w:nsid w:val="0000000C"/>
    <w:multiLevelType w:val="multilevel"/>
    <w:tmpl w:val="E0D285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7"/>
  </w:num>
  <w:num w:numId="5">
    <w:abstractNumId w:val="3"/>
  </w:num>
  <w:num w:numId="6">
    <w:abstractNumId w:val="2"/>
  </w:num>
  <w:num w:numId="7">
    <w:abstractNumId w:val="10"/>
  </w:num>
  <w:num w:numId="8">
    <w:abstractNumId w:val="4"/>
  </w:num>
  <w:num w:numId="9">
    <w:abstractNumId w:val="1"/>
  </w:num>
  <w:num w:numId="10">
    <w:abstractNumId w:val="0"/>
  </w:num>
  <w:num w:numId="11">
    <w:abstractNumId w:val="12"/>
  </w:num>
  <w:num w:numId="12">
    <w:abstractNumId w:val="9"/>
  </w:num>
  <w:num w:numId="13">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cs="Arial" w:eastAsia="ＭＳ 明朝" w:hAnsi="Cambria"/>
        <w:sz w:val="22"/>
        <w:szCs w:val="22"/>
        <w:lang w:val="en-US" w:bidi="ar-SA" w:eastAsia="en-US"/>
      </w:rPr>
    </w:rPrDefault>
    <w:pPrDefault>
      <w:pPr>
        <w:spacing w:after="200" w:lineRule="auto" w:line="276"/>
      </w:pPr>
    </w:pPrDefault>
  </w:docDefaults>
  <w:style w:type="paragraph" w:default="1" w:styleId="style0">
    <w:name w:val="Normal"/>
    <w:next w:val="style0"/>
    <w:qFormat/>
    <w:pPr/>
    <w:rPr>
      <w:rFonts w:ascii="Times New Roman" w:eastAsia="Times New Roman" w:hAnsi="Times New Roman"/>
      <w:sz w:val="24"/>
    </w:rPr>
  </w:style>
  <w:style w:type="paragraph" w:styleId="style1">
    <w:name w:val="heading 1"/>
    <w:basedOn w:val="style0"/>
    <w:next w:val="style0"/>
    <w:link w:val="style4099"/>
    <w:qFormat/>
    <w:uiPriority w:val="9"/>
    <w:pPr>
      <w:keepNext/>
      <w:keepLines/>
      <w:spacing w:before="480" w:after="0"/>
      <w:outlineLvl w:val="0"/>
    </w:pPr>
    <w:rPr>
      <w:rFonts w:ascii="Calibri" w:cs="Times New Roman" w:eastAsia="ＭＳ ゴシック" w:hAnsi="Calibri"/>
      <w:b/>
      <w:bCs/>
      <w:color w:val="365f91"/>
      <w:sz w:val="28"/>
      <w:szCs w:val="28"/>
    </w:rPr>
  </w:style>
  <w:style w:type="paragraph" w:styleId="style2">
    <w:name w:val="heading 2"/>
    <w:basedOn w:val="style0"/>
    <w:next w:val="style0"/>
    <w:link w:val="style4100"/>
    <w:qFormat/>
    <w:uiPriority w:val="9"/>
    <w:pPr>
      <w:keepNext/>
      <w:keepLines/>
      <w:spacing w:before="200" w:after="0"/>
      <w:outlineLvl w:val="1"/>
    </w:pPr>
    <w:rPr>
      <w:rFonts w:ascii="Calibri" w:cs="Times New Roman" w:eastAsia="ＭＳ ゴシック" w:hAnsi="Calibri"/>
      <w:b/>
      <w:bCs/>
      <w:color w:val="4f81bd"/>
      <w:sz w:val="26"/>
      <w:szCs w:val="26"/>
    </w:rPr>
  </w:style>
  <w:style w:type="paragraph" w:styleId="style3">
    <w:name w:val="heading 3"/>
    <w:basedOn w:val="style0"/>
    <w:next w:val="style0"/>
    <w:link w:val="style4101"/>
    <w:qFormat/>
    <w:uiPriority w:val="9"/>
    <w:pPr>
      <w:keepNext/>
      <w:keepLines/>
      <w:spacing w:before="200" w:after="0"/>
      <w:outlineLvl w:val="2"/>
    </w:pPr>
    <w:rPr>
      <w:rFonts w:ascii="Calibri" w:cs="Times New Roman" w:eastAsia="ＭＳ ゴシック" w:hAnsi="Calibri"/>
      <w:b/>
      <w:bCs/>
      <w:color w:val="4f81bd"/>
    </w:rPr>
  </w:style>
  <w:style w:type="paragraph" w:styleId="style4">
    <w:name w:val="heading 4"/>
    <w:basedOn w:val="style0"/>
    <w:next w:val="style0"/>
    <w:link w:val="style4109"/>
    <w:qFormat/>
    <w:uiPriority w:val="9"/>
    <w:pPr>
      <w:keepNext/>
      <w:keepLines/>
      <w:spacing w:before="200" w:after="0"/>
      <w:outlineLvl w:val="3"/>
    </w:pPr>
    <w:rPr>
      <w:rFonts w:ascii="Calibri" w:cs="Times New Roman" w:eastAsia="ＭＳ ゴシック" w:hAnsi="Calibri"/>
      <w:b/>
      <w:bCs/>
      <w:i/>
      <w:iCs/>
      <w:color w:val="4f81bd"/>
    </w:rPr>
  </w:style>
  <w:style w:type="paragraph" w:styleId="style5">
    <w:name w:val="heading 5"/>
    <w:basedOn w:val="style0"/>
    <w:next w:val="style0"/>
    <w:link w:val="style4110"/>
    <w:qFormat/>
    <w:uiPriority w:val="9"/>
    <w:pPr>
      <w:keepNext/>
      <w:keepLines/>
      <w:spacing w:before="200" w:after="0"/>
      <w:outlineLvl w:val="4"/>
    </w:pPr>
    <w:rPr>
      <w:rFonts w:ascii="Calibri" w:cs="Times New Roman" w:eastAsia="ＭＳ ゴシック" w:hAnsi="Calibri"/>
      <w:color w:val="243f60"/>
    </w:rPr>
  </w:style>
  <w:style w:type="paragraph" w:styleId="style6">
    <w:name w:val="heading 6"/>
    <w:basedOn w:val="style0"/>
    <w:next w:val="style0"/>
    <w:link w:val="style4111"/>
    <w:qFormat/>
    <w:uiPriority w:val="9"/>
    <w:pPr>
      <w:keepNext/>
      <w:keepLines/>
      <w:spacing w:before="200" w:after="0"/>
      <w:outlineLvl w:val="5"/>
    </w:pPr>
    <w:rPr>
      <w:rFonts w:ascii="Calibri" w:cs="Times New Roman" w:eastAsia="ＭＳ ゴシック" w:hAnsi="Calibri"/>
      <w:i/>
      <w:iCs/>
      <w:color w:val="243f60"/>
    </w:rPr>
  </w:style>
  <w:style w:type="paragraph" w:styleId="style7">
    <w:name w:val="heading 7"/>
    <w:basedOn w:val="style0"/>
    <w:next w:val="style0"/>
    <w:link w:val="style4112"/>
    <w:qFormat/>
    <w:uiPriority w:val="9"/>
    <w:pPr>
      <w:keepNext/>
      <w:keepLines/>
      <w:spacing w:before="200" w:after="0"/>
      <w:outlineLvl w:val="6"/>
    </w:pPr>
    <w:rPr>
      <w:rFonts w:ascii="Calibri" w:cs="Times New Roman" w:eastAsia="ＭＳ ゴシック" w:hAnsi="Calibri"/>
      <w:i/>
      <w:iCs/>
      <w:color w:val="404040"/>
    </w:rPr>
  </w:style>
  <w:style w:type="paragraph" w:styleId="style8">
    <w:name w:val="heading 8"/>
    <w:basedOn w:val="style0"/>
    <w:next w:val="style0"/>
    <w:link w:val="style4113"/>
    <w:qFormat/>
    <w:uiPriority w:val="9"/>
    <w:pPr>
      <w:keepNext/>
      <w:keepLines/>
      <w:spacing w:before="200" w:after="0"/>
      <w:outlineLvl w:val="7"/>
    </w:pPr>
    <w:rPr>
      <w:rFonts w:ascii="Calibri" w:cs="Times New Roman" w:eastAsia="ＭＳ ゴシック" w:hAnsi="Calibri"/>
      <w:color w:val="4f81bd"/>
      <w:sz w:val="20"/>
      <w:szCs w:val="20"/>
    </w:rPr>
  </w:style>
  <w:style w:type="paragraph" w:styleId="style9">
    <w:name w:val="heading 9"/>
    <w:basedOn w:val="style0"/>
    <w:next w:val="style0"/>
    <w:link w:val="style4114"/>
    <w:qFormat/>
    <w:uiPriority w:val="9"/>
    <w:pPr>
      <w:keepNext/>
      <w:keepLines/>
      <w:spacing w:before="200" w:after="0"/>
      <w:outlineLvl w:val="8"/>
    </w:pPr>
    <w:rPr>
      <w:rFonts w:ascii="Calibri" w:cs="Times New Roman" w:eastAsia="ＭＳ ゴシック" w:hAnsi="Calibri"/>
      <w:i/>
      <w:iCs/>
      <w:color w:val="404040"/>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97ee1fee-b597-4866-9a86-2b8b4e846eb1"/>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f72939b9-ee84-4889-925e-c323e3fdde8b"/>
    <w:basedOn w:val="style65"/>
    <w:next w:val="style4098"/>
    <w:link w:val="style32"/>
    <w:uiPriority w:val="99"/>
  </w:style>
  <w:style w:type="paragraph" w:styleId="style157">
    <w:name w:val="No Spacing"/>
    <w:next w:val="style157"/>
    <w:qFormat/>
    <w:uiPriority w:val="1"/>
    <w:pPr>
      <w:spacing w:after="0" w:lineRule="auto" w:line="240"/>
    </w:pPr>
    <w:rPr/>
  </w:style>
  <w:style w:type="character" w:customStyle="1" w:styleId="style4099">
    <w:name w:val="Heading 1 Char_5205b309-52db-4ee5-8303-f3f00fc0390f"/>
    <w:basedOn w:val="style65"/>
    <w:next w:val="style4099"/>
    <w:link w:val="style1"/>
    <w:uiPriority w:val="9"/>
    <w:rPr>
      <w:rFonts w:ascii="Calibri" w:cs="Times New Roman" w:eastAsia="ＭＳ ゴシック" w:hAnsi="Calibri"/>
      <w:b/>
      <w:bCs/>
      <w:color w:val="365f91"/>
      <w:sz w:val="28"/>
      <w:szCs w:val="28"/>
    </w:rPr>
  </w:style>
  <w:style w:type="character" w:customStyle="1" w:styleId="style4100">
    <w:name w:val="Heading 2 Char_41b36afb-982c-4f62-b3f9-646b00ce0081"/>
    <w:basedOn w:val="style65"/>
    <w:next w:val="style4100"/>
    <w:link w:val="style2"/>
    <w:uiPriority w:val="9"/>
    <w:rPr>
      <w:rFonts w:ascii="Calibri" w:cs="Times New Roman" w:eastAsia="ＭＳ ゴシック" w:hAnsi="Calibri"/>
      <w:b/>
      <w:bCs/>
      <w:color w:val="4f81bd"/>
      <w:sz w:val="26"/>
      <w:szCs w:val="26"/>
    </w:rPr>
  </w:style>
  <w:style w:type="character" w:customStyle="1" w:styleId="style4101">
    <w:name w:val="Heading 3 Char_d5ccfd38-3a16-44fc-92cc-51d1348898c2"/>
    <w:basedOn w:val="style65"/>
    <w:next w:val="style4101"/>
    <w:link w:val="style3"/>
    <w:uiPriority w:val="9"/>
    <w:rPr>
      <w:rFonts w:ascii="Calibri" w:cs="Times New Roman" w:eastAsia="ＭＳ ゴシック" w:hAnsi="Calibri"/>
      <w:b/>
      <w:bCs/>
      <w:color w:val="4f81bd"/>
    </w:rPr>
  </w:style>
  <w:style w:type="paragraph" w:styleId="style62">
    <w:name w:val="Title"/>
    <w:basedOn w:val="style0"/>
    <w:next w:val="style0"/>
    <w:link w:val="style4102"/>
    <w:qFormat/>
    <w:uiPriority w:val="10"/>
    <w:pPr>
      <w:pBdr>
        <w:bottom w:val="single" w:sz="8" w:space="4" w:color="4f81bd"/>
      </w:pBdr>
      <w:spacing w:after="300" w:lineRule="auto" w:line="240"/>
      <w:contextualSpacing/>
    </w:pPr>
    <w:rPr>
      <w:rFonts w:ascii="Calibri" w:cs="Times New Roman" w:eastAsia="ＭＳ ゴシック" w:hAnsi="Calibri"/>
      <w:color w:val="17365d"/>
      <w:spacing w:val="5"/>
      <w:kern w:val="28"/>
      <w:sz w:val="52"/>
      <w:szCs w:val="52"/>
    </w:rPr>
  </w:style>
  <w:style w:type="character" w:customStyle="1" w:styleId="style4102">
    <w:name w:val="Title Char_7d3607e0-21c8-4f5b-a2c4-db4fc2124e81"/>
    <w:basedOn w:val="style65"/>
    <w:next w:val="style4102"/>
    <w:link w:val="style62"/>
    <w:uiPriority w:val="10"/>
    <w:rPr>
      <w:rFonts w:ascii="Calibri" w:cs="Times New Roman" w:eastAsia="ＭＳ ゴシック" w:hAnsi="Calibri"/>
      <w:color w:val="17365d"/>
      <w:spacing w:val="5"/>
      <w:kern w:val="28"/>
      <w:sz w:val="52"/>
      <w:szCs w:val="52"/>
    </w:rPr>
  </w:style>
  <w:style w:type="paragraph" w:styleId="style74">
    <w:name w:val="Subtitle"/>
    <w:basedOn w:val="style0"/>
    <w:next w:val="style0"/>
    <w:link w:val="style4103"/>
    <w:qFormat/>
    <w:uiPriority w:val="11"/>
    <w:pPr>
      <w:numPr>
        <w:ilvl w:val="1"/>
        <w:numId w:val="0"/>
      </w:numPr>
    </w:pPr>
    <w:rPr>
      <w:rFonts w:ascii="Calibri" w:cs="Times New Roman" w:eastAsia="ＭＳ ゴシック" w:hAnsi="Calibri"/>
      <w:i/>
      <w:iCs/>
      <w:color w:val="4f81bd"/>
      <w:spacing w:val="15"/>
      <w:szCs w:val="24"/>
    </w:rPr>
  </w:style>
  <w:style w:type="character" w:customStyle="1" w:styleId="style4103">
    <w:name w:val="Subtitle Char"/>
    <w:basedOn w:val="style65"/>
    <w:next w:val="style4103"/>
    <w:link w:val="style74"/>
    <w:uiPriority w:val="11"/>
    <w:rPr>
      <w:rFonts w:ascii="Calibri" w:cs="Times New Roman" w:eastAsia="ＭＳ ゴシック" w:hAnsi="Calibri"/>
      <w:i/>
      <w:iCs/>
      <w:color w:val="4f81bd"/>
      <w:spacing w:val="15"/>
      <w:sz w:val="24"/>
      <w:szCs w:val="24"/>
    </w:rPr>
  </w:style>
  <w:style w:type="paragraph" w:styleId="style179">
    <w:name w:val="List Paragraph"/>
    <w:basedOn w:val="style0"/>
    <w:next w:val="style179"/>
    <w:qFormat/>
    <w:uiPriority w:val="34"/>
    <w:pPr>
      <w:ind w:left="720"/>
      <w:contextualSpacing/>
    </w:pPr>
    <w:rPr/>
  </w:style>
  <w:style w:type="paragraph" w:styleId="style66">
    <w:name w:val="Body Text"/>
    <w:basedOn w:val="style0"/>
    <w:next w:val="style66"/>
    <w:link w:val="style4104"/>
    <w:uiPriority w:val="99"/>
    <w:pPr>
      <w:spacing w:after="120"/>
    </w:pPr>
    <w:rPr/>
  </w:style>
  <w:style w:type="character" w:customStyle="1" w:styleId="style4104">
    <w:name w:val="Body Text Char"/>
    <w:basedOn w:val="style65"/>
    <w:next w:val="style4104"/>
    <w:link w:val="style66"/>
    <w:uiPriority w:val="99"/>
  </w:style>
  <w:style w:type="paragraph" w:styleId="style80">
    <w:name w:val="Body Text 2"/>
    <w:basedOn w:val="style0"/>
    <w:next w:val="style80"/>
    <w:link w:val="style4105"/>
    <w:uiPriority w:val="99"/>
    <w:pPr>
      <w:spacing w:after="120" w:lineRule="auto" w:line="480"/>
    </w:pPr>
    <w:rPr/>
  </w:style>
  <w:style w:type="character" w:customStyle="1" w:styleId="style4105">
    <w:name w:val="Body Text 2 Char"/>
    <w:basedOn w:val="style65"/>
    <w:next w:val="style4105"/>
    <w:link w:val="style80"/>
    <w:uiPriority w:val="99"/>
  </w:style>
  <w:style w:type="paragraph" w:styleId="style81">
    <w:name w:val="Body Text 3"/>
    <w:basedOn w:val="style0"/>
    <w:next w:val="style81"/>
    <w:link w:val="style4106"/>
    <w:uiPriority w:val="99"/>
    <w:pPr>
      <w:spacing w:after="120"/>
    </w:pPr>
    <w:rPr>
      <w:sz w:val="16"/>
      <w:szCs w:val="16"/>
    </w:rPr>
  </w:style>
  <w:style w:type="character" w:customStyle="1" w:styleId="style4106">
    <w:name w:val="Body Text 3 Char"/>
    <w:basedOn w:val="style65"/>
    <w:next w:val="style4106"/>
    <w:link w:val="style81"/>
    <w:uiPriority w:val="99"/>
    <w:rPr>
      <w:sz w:val="16"/>
      <w:szCs w:val="16"/>
    </w:rPr>
  </w:style>
  <w:style w:type="paragraph" w:styleId="style47">
    <w:name w:val="List"/>
    <w:basedOn w:val="style0"/>
    <w:next w:val="style47"/>
    <w:uiPriority w:val="99"/>
    <w:pPr>
      <w:ind w:left="360" w:hanging="360"/>
      <w:contextualSpacing/>
    </w:pPr>
    <w:rPr/>
  </w:style>
  <w:style w:type="paragraph" w:styleId="style50">
    <w:name w:val="List 2"/>
    <w:basedOn w:val="style0"/>
    <w:next w:val="style50"/>
    <w:uiPriority w:val="99"/>
    <w:pPr>
      <w:ind w:left="720" w:hanging="360"/>
      <w:contextualSpacing/>
    </w:pPr>
    <w:rPr/>
  </w:style>
  <w:style w:type="paragraph" w:styleId="style51">
    <w:name w:val="List 3"/>
    <w:basedOn w:val="style0"/>
    <w:next w:val="style51"/>
    <w:uiPriority w:val="99"/>
    <w:pPr>
      <w:ind w:left="1080" w:hanging="360"/>
      <w:contextualSpacing/>
    </w:pPr>
    <w:rPr/>
  </w:style>
  <w:style w:type="paragraph" w:styleId="style48">
    <w:name w:val="List Bullet"/>
    <w:basedOn w:val="style0"/>
    <w:next w:val="style48"/>
    <w:uiPriority w:val="99"/>
    <w:pPr>
      <w:numPr>
        <w:ilvl w:val="0"/>
        <w:numId w:val="1"/>
      </w:numPr>
      <w:contextualSpacing/>
    </w:pPr>
    <w:rPr/>
  </w:style>
  <w:style w:type="paragraph" w:styleId="style54">
    <w:name w:val="List Bullet 2"/>
    <w:basedOn w:val="style0"/>
    <w:next w:val="style54"/>
    <w:uiPriority w:val="99"/>
    <w:pPr>
      <w:numPr>
        <w:ilvl w:val="0"/>
        <w:numId w:val="2"/>
      </w:numPr>
      <w:contextualSpacing/>
    </w:pPr>
    <w:rPr/>
  </w:style>
  <w:style w:type="paragraph" w:styleId="style55">
    <w:name w:val="List Bullet 3"/>
    <w:basedOn w:val="style0"/>
    <w:next w:val="style55"/>
    <w:uiPriority w:val="99"/>
    <w:pPr>
      <w:numPr>
        <w:ilvl w:val="0"/>
        <w:numId w:val="3"/>
      </w:numPr>
      <w:contextualSpacing/>
    </w:pPr>
    <w:rPr/>
  </w:style>
  <w:style w:type="paragraph" w:styleId="style49">
    <w:name w:val="List Number"/>
    <w:basedOn w:val="style0"/>
    <w:next w:val="style49"/>
    <w:uiPriority w:val="99"/>
    <w:pPr>
      <w:numPr>
        <w:ilvl w:val="0"/>
        <w:numId w:val="4"/>
      </w:numPr>
      <w:contextualSpacing/>
    </w:pPr>
    <w:rPr/>
  </w:style>
  <w:style w:type="paragraph" w:styleId="style58">
    <w:name w:val="List Number 2"/>
    <w:basedOn w:val="style0"/>
    <w:next w:val="style58"/>
    <w:uiPriority w:val="99"/>
    <w:pPr>
      <w:numPr>
        <w:ilvl w:val="0"/>
        <w:numId w:val="5"/>
      </w:numPr>
      <w:contextualSpacing/>
    </w:pPr>
    <w:rPr/>
  </w:style>
  <w:style w:type="paragraph" w:styleId="style59">
    <w:name w:val="List Number 3"/>
    <w:basedOn w:val="style0"/>
    <w:next w:val="style59"/>
    <w:uiPriority w:val="99"/>
    <w:pPr>
      <w:numPr>
        <w:ilvl w:val="0"/>
        <w:numId w:val="6"/>
      </w:numPr>
      <w:contextualSpacing/>
    </w:pPr>
    <w:rPr/>
  </w:style>
  <w:style w:type="paragraph" w:styleId="style68">
    <w:name w:val="List Continue"/>
    <w:basedOn w:val="style0"/>
    <w:next w:val="style68"/>
    <w:uiPriority w:val="99"/>
    <w:pPr>
      <w:spacing w:after="120"/>
      <w:ind w:left="360"/>
      <w:contextualSpacing/>
    </w:pPr>
    <w:rPr/>
  </w:style>
  <w:style w:type="paragraph" w:styleId="style69">
    <w:name w:val="List Continue 2"/>
    <w:basedOn w:val="style0"/>
    <w:next w:val="style69"/>
    <w:uiPriority w:val="99"/>
    <w:pPr>
      <w:spacing w:after="120"/>
      <w:ind w:left="720"/>
      <w:contextualSpacing/>
    </w:pPr>
    <w:rPr/>
  </w:style>
  <w:style w:type="paragraph" w:styleId="style70">
    <w:name w:val="List Continue 3"/>
    <w:basedOn w:val="style0"/>
    <w:next w:val="style70"/>
    <w:uiPriority w:val="99"/>
    <w:pPr>
      <w:spacing w:after="120"/>
      <w:ind w:left="1080"/>
      <w:contextualSpacing/>
    </w:pPr>
    <w:rPr/>
  </w:style>
  <w:style w:type="paragraph" w:styleId="style45">
    <w:name w:val="macro"/>
    <w:next w:val="style45"/>
    <w:link w:val="style4107"/>
    <w:uiPriority w:val="99"/>
    <w:pPr>
      <w:tabs>
        <w:tab w:val="left" w:leader="none" w:pos="576"/>
        <w:tab w:val="left" w:leader="none" w:pos="1152"/>
        <w:tab w:val="left" w:leader="none" w:pos="1728"/>
        <w:tab w:val="left" w:leader="none" w:pos="2304"/>
        <w:tab w:val="left" w:leader="none" w:pos="2880"/>
        <w:tab w:val="left" w:leader="none" w:pos="3456"/>
        <w:tab w:val="left" w:leader="none" w:pos="4032"/>
      </w:tabs>
    </w:pPr>
    <w:rPr>
      <w:rFonts w:ascii="Courier" w:hAnsi="Courier"/>
      <w:sz w:val="20"/>
      <w:szCs w:val="20"/>
    </w:rPr>
  </w:style>
  <w:style w:type="character" w:customStyle="1" w:styleId="style4107">
    <w:name w:val="Macro Text Char"/>
    <w:basedOn w:val="style65"/>
    <w:next w:val="style4107"/>
    <w:link w:val="style45"/>
    <w:uiPriority w:val="99"/>
    <w:rPr>
      <w:rFonts w:ascii="Courier" w:hAnsi="Courier"/>
      <w:sz w:val="20"/>
      <w:szCs w:val="20"/>
    </w:rPr>
  </w:style>
  <w:style w:type="paragraph" w:styleId="style180">
    <w:name w:val="Quote"/>
    <w:basedOn w:val="style0"/>
    <w:next w:val="style0"/>
    <w:link w:val="style4108"/>
    <w:qFormat/>
    <w:uiPriority w:val="29"/>
    <w:pPr/>
    <w:rPr>
      <w:i/>
      <w:iCs/>
      <w:color w:val="000000"/>
    </w:rPr>
  </w:style>
  <w:style w:type="character" w:customStyle="1" w:styleId="style4108">
    <w:name w:val="Quote Char_f9e72b50-a04a-4a28-9bf3-3796ca72c631"/>
    <w:basedOn w:val="style65"/>
    <w:next w:val="style4108"/>
    <w:link w:val="style180"/>
    <w:uiPriority w:val="29"/>
    <w:rPr>
      <w:i/>
      <w:iCs/>
      <w:color w:val="000000"/>
    </w:rPr>
  </w:style>
  <w:style w:type="character" w:customStyle="1" w:styleId="style4109">
    <w:name w:val="Heading 4 Char_d07b6dfd-cbfa-4d92-8f8e-8bb96876f442"/>
    <w:basedOn w:val="style65"/>
    <w:next w:val="style4109"/>
    <w:link w:val="style4"/>
    <w:uiPriority w:val="9"/>
    <w:rPr>
      <w:rFonts w:ascii="Calibri" w:cs="Times New Roman" w:eastAsia="ＭＳ ゴシック" w:hAnsi="Calibri"/>
      <w:b/>
      <w:bCs/>
      <w:i/>
      <w:iCs/>
      <w:color w:val="4f81bd"/>
    </w:rPr>
  </w:style>
  <w:style w:type="character" w:customStyle="1" w:styleId="style4110">
    <w:name w:val="Heading 5 Char_28c1f8da-a80e-486e-9a2d-56390e45c5fe"/>
    <w:basedOn w:val="style65"/>
    <w:next w:val="style4110"/>
    <w:link w:val="style5"/>
    <w:uiPriority w:val="9"/>
    <w:rPr>
      <w:rFonts w:ascii="Calibri" w:cs="Times New Roman" w:eastAsia="ＭＳ ゴシック" w:hAnsi="Calibri"/>
      <w:color w:val="243f60"/>
    </w:rPr>
  </w:style>
  <w:style w:type="character" w:customStyle="1" w:styleId="style4111">
    <w:name w:val="Heading 6 Char_d9c77bba-39cb-4829-bab5-e6221e1a07c4"/>
    <w:basedOn w:val="style65"/>
    <w:next w:val="style4111"/>
    <w:link w:val="style6"/>
    <w:uiPriority w:val="9"/>
    <w:rPr>
      <w:rFonts w:ascii="Calibri" w:cs="Times New Roman" w:eastAsia="ＭＳ ゴシック" w:hAnsi="Calibri"/>
      <w:i/>
      <w:iCs/>
      <w:color w:val="243f60"/>
    </w:rPr>
  </w:style>
  <w:style w:type="character" w:customStyle="1" w:styleId="style4112">
    <w:name w:val="Heading 7 Char_e88cdb92-ac62-4c0c-9495-4035e960192f"/>
    <w:basedOn w:val="style65"/>
    <w:next w:val="style4112"/>
    <w:link w:val="style7"/>
    <w:uiPriority w:val="9"/>
    <w:rPr>
      <w:rFonts w:ascii="Calibri" w:cs="Times New Roman" w:eastAsia="ＭＳ ゴシック" w:hAnsi="Calibri"/>
      <w:i/>
      <w:iCs/>
      <w:color w:val="404040"/>
    </w:rPr>
  </w:style>
  <w:style w:type="character" w:customStyle="1" w:styleId="style4113">
    <w:name w:val="Heading 8 Char_8bf7857b-9e26-46a6-8a43-5a39b93f0f05"/>
    <w:basedOn w:val="style65"/>
    <w:next w:val="style4113"/>
    <w:link w:val="style8"/>
    <w:uiPriority w:val="9"/>
    <w:rPr>
      <w:rFonts w:ascii="Calibri" w:cs="Times New Roman" w:eastAsia="ＭＳ ゴシック" w:hAnsi="Calibri"/>
      <w:color w:val="4f81bd"/>
      <w:sz w:val="20"/>
      <w:szCs w:val="20"/>
    </w:rPr>
  </w:style>
  <w:style w:type="character" w:customStyle="1" w:styleId="style4114">
    <w:name w:val="Heading 9 Char_8aa38264-5880-418f-a227-9736a7cd3364"/>
    <w:basedOn w:val="style65"/>
    <w:next w:val="style4114"/>
    <w:link w:val="style9"/>
    <w:uiPriority w:val="9"/>
    <w:rPr>
      <w:rFonts w:ascii="Calibri" w:cs="Times New Roman" w:eastAsia="ＭＳ ゴシック" w:hAnsi="Calibri"/>
      <w:i/>
      <w:iCs/>
      <w:color w:val="404040"/>
      <w:sz w:val="20"/>
      <w:szCs w:val="20"/>
    </w:rPr>
  </w:style>
  <w:style w:type="paragraph" w:styleId="style34">
    <w:name w:val="caption"/>
    <w:basedOn w:val="style0"/>
    <w:next w:val="style0"/>
    <w:qFormat/>
    <w:uiPriority w:val="35"/>
    <w:pPr>
      <w:spacing w:lineRule="auto" w:line="240"/>
    </w:pPr>
    <w:rPr>
      <w:b/>
      <w:bCs/>
      <w:color w:val="4f81bd"/>
      <w:sz w:val="18"/>
      <w:szCs w:val="18"/>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paragraph" w:styleId="style181">
    <w:name w:val="Intense Quote"/>
    <w:basedOn w:val="style0"/>
    <w:next w:val="style0"/>
    <w:link w:val="style4115"/>
    <w:qFormat/>
    <w:uiPriority w:val="30"/>
    <w:pPr>
      <w:pBdr>
        <w:bottom w:val="single" w:sz="4" w:space="4" w:color="4f81bd"/>
      </w:pBdr>
      <w:spacing w:before="200" w:after="280"/>
      <w:ind w:left="936" w:right="936"/>
    </w:pPr>
    <w:rPr>
      <w:b/>
      <w:bCs/>
      <w:i/>
      <w:iCs/>
      <w:color w:val="4f81bd"/>
    </w:rPr>
  </w:style>
  <w:style w:type="character" w:customStyle="1" w:styleId="style4115">
    <w:name w:val="Intense Quote Char_f36eab6e-66cd-4585-8899-ab2adc8e2b4c"/>
    <w:basedOn w:val="style65"/>
    <w:next w:val="style4115"/>
    <w:link w:val="style181"/>
    <w:uiPriority w:val="30"/>
    <w:rPr>
      <w:b/>
      <w:bCs/>
      <w:i/>
      <w:iCs/>
      <w:color w:val="4f81bd"/>
    </w:rPr>
  </w:style>
  <w:style w:type="character" w:styleId="style260">
    <w:name w:val="Subtle Emphasis"/>
    <w:basedOn w:val="style65"/>
    <w:next w:val="style260"/>
    <w:qFormat/>
    <w:uiPriority w:val="19"/>
    <w:rPr>
      <w:i/>
      <w:iCs/>
      <w:color w:val="808080"/>
    </w:rPr>
  </w:style>
  <w:style w:type="character" w:styleId="style261">
    <w:name w:val="Intense Emphasis"/>
    <w:basedOn w:val="style65"/>
    <w:next w:val="style261"/>
    <w:qFormat/>
    <w:uiPriority w:val="21"/>
    <w:rPr>
      <w:b/>
      <w:bCs/>
      <w:i/>
      <w:iCs/>
      <w:color w:val="4f81bd"/>
    </w:rPr>
  </w:style>
  <w:style w:type="character" w:styleId="style262">
    <w:name w:val="Subtle Reference"/>
    <w:basedOn w:val="style65"/>
    <w:next w:val="style262"/>
    <w:qFormat/>
    <w:uiPriority w:val="31"/>
    <w:rPr>
      <w:smallCaps/>
      <w:color w:val="c0504d"/>
      <w:u w:val="single"/>
    </w:rPr>
  </w:style>
  <w:style w:type="character" w:styleId="style263">
    <w:name w:val="Intense Reference"/>
    <w:basedOn w:val="style65"/>
    <w:next w:val="style263"/>
    <w:qFormat/>
    <w:uiPriority w:val="32"/>
    <w:rPr>
      <w:b/>
      <w:bCs/>
      <w:smallCaps/>
      <w:color w:val="c0504d"/>
      <w:spacing w:val="5"/>
      <w:u w:val="single"/>
    </w:rPr>
  </w:style>
  <w:style w:type="character" w:styleId="style264">
    <w:name w:val="Book Title"/>
    <w:basedOn w:val="style65"/>
    <w:next w:val="style264"/>
    <w:qFormat/>
    <w:uiPriority w:val="33"/>
    <w:rPr>
      <w:b/>
      <w:bCs/>
      <w:smallCaps/>
      <w:spacing w:val="5"/>
    </w:rPr>
  </w:style>
  <w:style w:type="paragraph" w:styleId="style266">
    <w:name w:val="TOC Heading"/>
    <w:basedOn w:val="style1"/>
    <w:next w:val="style0"/>
    <w:qFormat/>
    <w:uiPriority w:val="39"/>
    <w:pPr>
      <w:outlineLvl w:val="9"/>
    </w:pPr>
    <w:r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styleId="style158">
    <w:name w:val="Light Shading"/>
    <w:basedOn w:val="style105"/>
    <w:next w:val="style158"/>
    <w:uiPriority w:val="60"/>
    <w:pPr>
      <w:spacing w:after="0" w:lineRule="auto" w:line="240"/>
    </w:pPr>
    <w:rPr>
      <w:color w:val="000000"/>
    </w:rPr>
    <w:tblPr>
      <w:tblStyleRowBandSize w:val="1"/>
      <w:tblStyleColBandSize w:val="1"/>
      <w:tblBorders>
        <w:top w:val="single" w:sz="8" w:space="0" w:color="000000"/>
        <w:bottom w:val="single" w:sz="8" w:space="0" w:color="000000"/>
      </w:tblBorders>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table" w:styleId="style172">
    <w:name w:val="Light Shading Accent 1"/>
    <w:basedOn w:val="style105"/>
    <w:next w:val="style172"/>
    <w:uiPriority w:val="60"/>
    <w:pPr>
      <w:spacing w:after="0" w:lineRule="auto" w:line="240"/>
    </w:pPr>
    <w:rPr>
      <w:color w:val="365f91"/>
    </w:rPr>
    <w:tblPr>
      <w:tblStyleRowBandSize w:val="1"/>
      <w:tblStyleColBandSize w:val="1"/>
      <w:tblBorders>
        <w:top w:val="single" w:sz="8" w:space="0" w:color="4f81bd"/>
        <w:bottom w:val="single" w:sz="8" w:space="0" w:color="4f81bd"/>
      </w:tblBorders>
    </w:tblPr>
    <w:tblStylePr w:type="fir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band1Horz">
      <w:pPr/>
      <w:tblPr/>
      <w:tcPr>
        <w:tcBorders>
          <w:left w:val="nil"/>
          <w:right w:val="nil"/>
          <w:insideH w:val="nil"/>
          <w:insideV w:val="nil"/>
        </w:tcBorders>
        <w:shd w:val="clear" w:color="auto" w:fill="d3dfee"/>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3dfee"/>
      </w:tcPr>
    </w:tblStylePr>
    <w:tcPr>
      <w:tcBorders/>
    </w:tcPr>
  </w:style>
  <w:style w:type="table" w:styleId="style190">
    <w:name w:val="Light Shading Accent 2"/>
    <w:basedOn w:val="style105"/>
    <w:next w:val="style190"/>
    <w:uiPriority w:val="60"/>
    <w:pPr>
      <w:spacing w:after="0" w:lineRule="auto" w:line="240"/>
    </w:pPr>
    <w:rPr>
      <w:color w:val="943634"/>
    </w:rPr>
    <w:tblPr>
      <w:tblStyleRowBandSize w:val="1"/>
      <w:tblStyleColBandSize w:val="1"/>
      <w:tblBorders>
        <w:top w:val="single" w:sz="8" w:space="0" w:color="c0504d"/>
        <w:bottom w:val="single" w:sz="8" w:space="0" w:color="c0504d"/>
      </w:tblBorders>
    </w:tblPr>
    <w:tblStylePr w:type="fir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band1Horz">
      <w:pPr/>
      <w:tblPr/>
      <w:tcPr>
        <w:tcBorders>
          <w:left w:val="nil"/>
          <w:right w:val="nil"/>
          <w:insideH w:val="nil"/>
          <w:insideV w:val="nil"/>
        </w:tcBorders>
        <w:shd w:val="clear" w:color="auto" w:fill="efd3d2"/>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fd3d2"/>
      </w:tcPr>
    </w:tblStylePr>
    <w:tcPr>
      <w:tcBorders/>
    </w:tcPr>
  </w:style>
  <w:style w:type="table" w:styleId="style204">
    <w:name w:val="Light Shading Accent 3"/>
    <w:basedOn w:val="style105"/>
    <w:next w:val="style204"/>
    <w:uiPriority w:val="60"/>
    <w:pPr>
      <w:spacing w:after="0" w:lineRule="auto" w:line="240"/>
    </w:pPr>
    <w:rPr>
      <w:color w:val="76923c"/>
    </w:rPr>
    <w:tblPr>
      <w:tblStyleRowBandSize w:val="1"/>
      <w:tblStyleColBandSize w:val="1"/>
      <w:tblBorders>
        <w:top w:val="single" w:sz="8" w:space="0" w:color="9bbb59"/>
        <w:bottom w:val="single" w:sz="8" w:space="0" w:color="9bbb59"/>
      </w:tblBorders>
    </w:tblPr>
    <w:tblStylePr w:type="fir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band1Horz">
      <w:pPr/>
      <w:tblPr/>
      <w:tcPr>
        <w:tcBorders>
          <w:left w:val="nil"/>
          <w:right w:val="nil"/>
          <w:insideH w:val="nil"/>
          <w:insideV w:val="nil"/>
        </w:tcBorders>
        <w:shd w:val="clear" w:color="auto" w:fill="e6eed5"/>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6eed5"/>
      </w:tcPr>
    </w:tblStylePr>
    <w:tcPr>
      <w:tcBorders/>
    </w:tcPr>
  </w:style>
  <w:style w:type="table" w:styleId="style218">
    <w:name w:val="Light Shading Accent 4"/>
    <w:basedOn w:val="style105"/>
    <w:next w:val="style218"/>
    <w:uiPriority w:val="60"/>
    <w:pPr>
      <w:spacing w:after="0" w:lineRule="auto" w:line="240"/>
    </w:pPr>
    <w:rPr>
      <w:color w:val="5f497a"/>
    </w:rPr>
    <w:tblPr>
      <w:tblStyleRowBandSize w:val="1"/>
      <w:tblStyleColBandSize w:val="1"/>
      <w:tblBorders>
        <w:top w:val="single" w:sz="8" w:space="0" w:color="8064a2"/>
        <w:bottom w:val="single" w:sz="8" w:space="0" w:color="8064a2"/>
      </w:tblBorders>
    </w:tblPr>
    <w:tblStylePr w:type="fir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band1Horz">
      <w:pPr/>
      <w:tblPr/>
      <w:tcPr>
        <w:tcBorders>
          <w:left w:val="nil"/>
          <w:right w:val="nil"/>
          <w:insideH w:val="nil"/>
          <w:insideV w:val="nil"/>
        </w:tcBorders>
        <w:shd w:val="clear" w:color="auto" w:fill="dfd8e8"/>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fd8e8"/>
      </w:tcPr>
    </w:tblStylePr>
    <w:tcPr>
      <w:tcBorders/>
    </w:tcPr>
  </w:style>
  <w:style w:type="table" w:styleId="style232">
    <w:name w:val="Light Shading Accent 5"/>
    <w:basedOn w:val="style105"/>
    <w:next w:val="style232"/>
    <w:uiPriority w:val="60"/>
    <w:pPr>
      <w:spacing w:after="0" w:lineRule="auto" w:line="240"/>
    </w:pPr>
    <w:rPr>
      <w:color w:val="31849b"/>
    </w:rPr>
    <w:tblPr>
      <w:tblStyleRowBandSize w:val="1"/>
      <w:tblStyleColBandSize w:val="1"/>
      <w:tblBorders>
        <w:top w:val="single" w:sz="8" w:space="0" w:color="4bacc6"/>
        <w:bottom w:val="single" w:sz="8" w:space="0" w:color="4bacc6"/>
      </w:tblBorders>
    </w:tblPr>
    <w:tblStylePr w:type="fir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band1Horz">
      <w:pPr/>
      <w:tblPr/>
      <w:tcPr>
        <w:tcBorders>
          <w:left w:val="nil"/>
          <w:right w:val="nil"/>
          <w:insideH w:val="nil"/>
          <w:insideV w:val="nil"/>
        </w:tcBorders>
        <w:shd w:val="clear" w:color="auto" w:fill="d2eaf1"/>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2eaf1"/>
      </w:tcPr>
    </w:tblStylePr>
    <w:tcPr>
      <w:tcBorders/>
    </w:tcPr>
  </w:style>
  <w:style w:type="table" w:styleId="style246">
    <w:name w:val="Light Shading Accent 6"/>
    <w:basedOn w:val="style105"/>
    <w:next w:val="style246"/>
    <w:uiPriority w:val="60"/>
    <w:pPr>
      <w:spacing w:after="0" w:lineRule="auto" w:line="240"/>
    </w:pPr>
    <w:rPr>
      <w:color w:val="e36c0a"/>
    </w:rPr>
    <w:tblPr>
      <w:tblStyleRowBandSize w:val="1"/>
      <w:tblStyleColBandSize w:val="1"/>
      <w:tblBorders>
        <w:top w:val="single" w:sz="8" w:space="0" w:color="f79646"/>
        <w:bottom w:val="single" w:sz="8" w:space="0" w:color="f79646"/>
      </w:tblBorders>
    </w:tblPr>
    <w:tblStylePr w:type="fir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band1Horz">
      <w:pPr/>
      <w:tblPr/>
      <w:tcPr>
        <w:tcBorders>
          <w:left w:val="nil"/>
          <w:right w:val="nil"/>
          <w:insideH w:val="nil"/>
          <w:insideV w:val="nil"/>
        </w:tcBorders>
        <w:shd w:val="clear" w:color="auto" w:fill="fde4d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fde4d0"/>
      </w:tcPr>
    </w:tblStylePr>
    <w:tcPr>
      <w:tcBorders/>
    </w:tcPr>
  </w:style>
  <w:style w:type="table" w:styleId="style159">
    <w:name w:val="Light List"/>
    <w:basedOn w:val="style105"/>
    <w:next w:val="style159"/>
    <w:uiPriority w:val="61"/>
    <w:pPr>
      <w:spacing w:after="0" w:lineRule="auto" w:line="240"/>
    </w:pP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Rule="auto" w:line="240"/>
      </w:pPr>
      <w:rPr>
        <w:b/>
        <w:bCs/>
        <w:color w:val="ffffff"/>
      </w:rPr>
      <w:tblPr/>
      <w:tcPr>
        <w:tcBorders/>
        <w:shd w:val="clear" w:color="auto" w:fill="000000"/>
      </w:tcPr>
    </w:tblStylePr>
    <w:tblStylePr w:type="lastRow">
      <w:pPr>
        <w:spacing w:before="0" w:after="0" w:lineRule="auto" w:line="240"/>
      </w:pPr>
      <w:rPr>
        <w:b/>
        <w:bCs/>
      </w:rPr>
      <w:tblPr/>
      <w:tcPr>
        <w:tcBorders>
          <w:top w:val="double" w:sz="6" w:space="0" w:color="000000"/>
          <w:left w:val="single" w:sz="8" w:space="0" w:color="000000"/>
          <w:bottom w:val="single" w:sz="8" w:space="0" w:color="000000"/>
          <w:right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000000"/>
          <w:left w:val="single" w:sz="8" w:space="0" w:color="000000"/>
          <w:bottom w:val="single" w:sz="8" w:space="0" w:color="000000"/>
          <w:right w:val="single" w:sz="8" w:space="0" w:color="000000"/>
        </w:tcBorders>
      </w:tcPr>
    </w:tblStylePr>
    <w:tcPr>
      <w:tcBorders/>
    </w:tcPr>
  </w:style>
  <w:style w:type="table" w:styleId="style173">
    <w:name w:val="Light List Accent 1"/>
    <w:basedOn w:val="style105"/>
    <w:next w:val="style173"/>
    <w:uiPriority w:val="61"/>
    <w:pPr>
      <w:spacing w:after="0" w:lineRule="auto" w:line="240"/>
    </w:pP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Rule="auto" w:line="240"/>
      </w:pPr>
      <w:rPr>
        <w:b/>
        <w:bCs/>
        <w:color w:val="ffffff"/>
      </w:rPr>
      <w:tblPr/>
      <w:tcPr>
        <w:tcBorders/>
        <w:shd w:val="clear" w:color="auto" w:fill="4f81bd"/>
      </w:tcPr>
    </w:tblStylePr>
    <w:tblStylePr w:type="lastRow">
      <w:pPr>
        <w:spacing w:before="0" w:after="0" w:lineRule="auto" w:line="240"/>
      </w:pPr>
      <w:rPr>
        <w:b/>
        <w:bCs/>
      </w:rPr>
      <w:tblPr/>
      <w:tcPr>
        <w:tcBorders>
          <w:top w:val="double" w:sz="6" w:space="0" w:color="4f81bd"/>
          <w:left w:val="single" w:sz="8" w:space="0" w:color="4f81bd"/>
          <w:bottom w:val="single" w:sz="8" w:space="0" w:color="4f81bd"/>
          <w:right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f81bd"/>
          <w:left w:val="single" w:sz="8" w:space="0" w:color="4f81bd"/>
          <w:bottom w:val="single" w:sz="8" w:space="0" w:color="4f81bd"/>
          <w:right w:val="single" w:sz="8" w:space="0" w:color="4f81bd"/>
        </w:tcBorders>
      </w:tcPr>
    </w:tblStylePr>
    <w:tcPr>
      <w:tcBorders/>
    </w:tcPr>
  </w:style>
  <w:style w:type="table" w:styleId="style191">
    <w:name w:val="Light List Accent 2"/>
    <w:basedOn w:val="style105"/>
    <w:next w:val="style191"/>
    <w:uiPriority w:val="61"/>
    <w:pPr>
      <w:spacing w:after="0" w:lineRule="auto" w:line="240"/>
    </w:pP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Rule="auto" w:line="240"/>
      </w:pPr>
      <w:rPr>
        <w:b/>
        <w:bCs/>
        <w:color w:val="ffffff"/>
      </w:rPr>
      <w:tblPr/>
      <w:tcPr>
        <w:tcBorders/>
        <w:shd w:val="clear" w:color="auto" w:fill="c0504d"/>
      </w:tcPr>
    </w:tblStylePr>
    <w:tblStylePr w:type="lastRow">
      <w:pPr>
        <w:spacing w:before="0" w:after="0" w:lineRule="auto" w:line="240"/>
      </w:pPr>
      <w:rPr>
        <w:b/>
        <w:bCs/>
      </w:rPr>
      <w:tblPr/>
      <w:tcPr>
        <w:tcBorders>
          <w:top w:val="double" w:sz="6" w:space="0" w:color="c0504d"/>
          <w:left w:val="single" w:sz="8" w:space="0" w:color="c0504d"/>
          <w:bottom w:val="single" w:sz="8" w:space="0" w:color="c0504d"/>
          <w:right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c0504d"/>
          <w:left w:val="single" w:sz="8" w:space="0" w:color="c0504d"/>
          <w:bottom w:val="single" w:sz="8" w:space="0" w:color="c0504d"/>
          <w:right w:val="single" w:sz="8" w:space="0" w:color="c0504d"/>
        </w:tcBorders>
      </w:tcPr>
    </w:tblStylePr>
    <w:tcPr>
      <w:tcBorders/>
    </w:tcPr>
  </w:style>
  <w:style w:type="table" w:styleId="style205">
    <w:name w:val="Light List Accent 3"/>
    <w:basedOn w:val="style105"/>
    <w:next w:val="style205"/>
    <w:uiPriority w:val="61"/>
    <w:pPr>
      <w:spacing w:after="0" w:lineRule="auto" w:line="240"/>
    </w:pP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Rule="auto" w:line="240"/>
      </w:pPr>
      <w:rPr>
        <w:b/>
        <w:bCs/>
        <w:color w:val="ffffff"/>
      </w:rPr>
      <w:tblPr/>
      <w:tcPr>
        <w:tcBorders/>
        <w:shd w:val="clear" w:color="auto" w:fill="9bbb59"/>
      </w:tcPr>
    </w:tblStylePr>
    <w:tblStylePr w:type="lastRow">
      <w:pPr>
        <w:spacing w:before="0" w:after="0" w:lineRule="auto" w:line="240"/>
      </w:pPr>
      <w:rPr>
        <w:b/>
        <w:bCs/>
      </w:rPr>
      <w:tblPr/>
      <w:tcPr>
        <w:tcBorders>
          <w:top w:val="double" w:sz="6" w:space="0" w:color="9bbb59"/>
          <w:left w:val="single" w:sz="8" w:space="0" w:color="9bbb59"/>
          <w:bottom w:val="single" w:sz="8" w:space="0" w:color="9bbb59"/>
          <w:right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9bbb59"/>
          <w:left w:val="single" w:sz="8" w:space="0" w:color="9bbb59"/>
          <w:bottom w:val="single" w:sz="8" w:space="0" w:color="9bbb59"/>
          <w:right w:val="single" w:sz="8" w:space="0" w:color="9bbb59"/>
        </w:tcBorders>
      </w:tcPr>
    </w:tblStylePr>
    <w:tcPr>
      <w:tcBorders/>
    </w:tcPr>
  </w:style>
  <w:style w:type="table" w:styleId="style219">
    <w:name w:val="Light List Accent 4"/>
    <w:basedOn w:val="style105"/>
    <w:next w:val="style219"/>
    <w:uiPriority w:val="61"/>
    <w:pPr>
      <w:spacing w:after="0" w:lineRule="auto" w:line="240"/>
    </w:pP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Rule="auto" w:line="240"/>
      </w:pPr>
      <w:rPr>
        <w:b/>
        <w:bCs/>
        <w:color w:val="ffffff"/>
      </w:rPr>
      <w:tblPr/>
      <w:tcPr>
        <w:tcBorders/>
        <w:shd w:val="clear" w:color="auto" w:fill="8064a2"/>
      </w:tcPr>
    </w:tblStylePr>
    <w:tblStylePr w:type="lastRow">
      <w:pPr>
        <w:spacing w:before="0" w:after="0" w:lineRule="auto" w:line="240"/>
      </w:pPr>
      <w:rPr>
        <w:b/>
        <w:bCs/>
      </w:rPr>
      <w:tblPr/>
      <w:tcPr>
        <w:tcBorders>
          <w:top w:val="double" w:sz="6" w:space="0" w:color="8064a2"/>
          <w:left w:val="single" w:sz="8" w:space="0" w:color="8064a2"/>
          <w:bottom w:val="single" w:sz="8" w:space="0" w:color="8064a2"/>
          <w:right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8064a2"/>
          <w:left w:val="single" w:sz="8" w:space="0" w:color="8064a2"/>
          <w:bottom w:val="single" w:sz="8" w:space="0" w:color="8064a2"/>
          <w:right w:val="single" w:sz="8" w:space="0" w:color="8064a2"/>
        </w:tcBorders>
      </w:tcPr>
    </w:tblStylePr>
    <w:tcPr>
      <w:tcBorders/>
    </w:tcPr>
  </w:style>
  <w:style w:type="table" w:styleId="style233">
    <w:name w:val="Light List Accent 5"/>
    <w:basedOn w:val="style105"/>
    <w:next w:val="style233"/>
    <w:uiPriority w:val="61"/>
    <w:pPr>
      <w:spacing w:after="0" w:lineRule="auto" w:line="240"/>
    </w:pP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Rule="auto" w:line="240"/>
      </w:pPr>
      <w:rPr>
        <w:b/>
        <w:bCs/>
        <w:color w:val="ffffff"/>
      </w:rPr>
      <w:tblPr/>
      <w:tcPr>
        <w:tcBorders/>
        <w:shd w:val="clear" w:color="auto" w:fill="4bacc6"/>
      </w:tcPr>
    </w:tblStylePr>
    <w:tblStylePr w:type="lastRow">
      <w:pPr>
        <w:spacing w:before="0" w:after="0" w:lineRule="auto" w:line="240"/>
      </w:pPr>
      <w:rPr>
        <w:b/>
        <w:bCs/>
      </w:rPr>
      <w:tblPr/>
      <w:tcPr>
        <w:tcBorders>
          <w:top w:val="double" w:sz="6" w:space="0" w:color="4bacc6"/>
          <w:left w:val="single" w:sz="8" w:space="0" w:color="4bacc6"/>
          <w:bottom w:val="single" w:sz="8" w:space="0" w:color="4bacc6"/>
          <w:right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bacc6"/>
          <w:left w:val="single" w:sz="8" w:space="0" w:color="4bacc6"/>
          <w:bottom w:val="single" w:sz="8" w:space="0" w:color="4bacc6"/>
          <w:right w:val="single" w:sz="8" w:space="0" w:color="4bacc6"/>
        </w:tcBorders>
      </w:tcPr>
    </w:tblStylePr>
    <w:tcPr>
      <w:tcBorders/>
    </w:tcPr>
  </w:style>
  <w:style w:type="table" w:styleId="style247">
    <w:name w:val="Light List Accent 6"/>
    <w:basedOn w:val="style105"/>
    <w:next w:val="style247"/>
    <w:uiPriority w:val="61"/>
    <w:pPr>
      <w:spacing w:after="0" w:lineRule="auto" w:line="240"/>
    </w:pP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Rule="auto" w:line="240"/>
      </w:pPr>
      <w:rPr>
        <w:b/>
        <w:bCs/>
        <w:color w:val="ffffff"/>
      </w:rPr>
      <w:tblPr/>
      <w:tcPr>
        <w:tcBorders/>
        <w:shd w:val="clear" w:color="auto" w:fill="f79646"/>
      </w:tcPr>
    </w:tblStylePr>
    <w:tblStylePr w:type="lastRow">
      <w:pPr>
        <w:spacing w:before="0" w:after="0" w:lineRule="auto" w:line="240"/>
      </w:pPr>
      <w:rPr>
        <w:b/>
        <w:bCs/>
      </w:rPr>
      <w:tblPr/>
      <w:tcPr>
        <w:tcBorders>
          <w:top w:val="double" w:sz="6" w:space="0" w:color="f79646"/>
          <w:left w:val="single" w:sz="8" w:space="0" w:color="f79646"/>
          <w:bottom w:val="single" w:sz="8" w:space="0" w:color="f79646"/>
          <w:right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f79646"/>
          <w:left w:val="single" w:sz="8" w:space="0" w:color="f79646"/>
          <w:bottom w:val="single" w:sz="8" w:space="0" w:color="f79646"/>
          <w:right w:val="single" w:sz="8" w:space="0" w:color="f79646"/>
        </w:tcBorders>
      </w:tcPr>
    </w:tblStylePr>
    <w:tcPr>
      <w:tcBorders/>
    </w:tcPr>
  </w:style>
  <w:style w:type="table" w:styleId="style160">
    <w:name w:val="Light Grid"/>
    <w:basedOn w:val="style105"/>
    <w:next w:val="style160"/>
    <w:uiPriority w:val="62"/>
    <w:pPr>
      <w:spacing w:after="0" w:lineRule="auto" w:line="240"/>
    </w:pP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Rule="auto" w:line="240"/>
      </w:pPr>
      <w:rPr>
        <w:rFonts w:ascii="Calibri" w:cs="Times New Roman" w:eastAsia="ＭＳ ゴシック" w:hAnsi="Calibri"/>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Rule="auto" w:line="240"/>
      </w:pPr>
      <w:rPr>
        <w:rFonts w:ascii="Calibri" w:cs="Times New Roman" w:eastAsia="ＭＳ ゴシック" w:hAnsi="Calibri"/>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pPr/>
      <w:tblPr/>
      <w:tcPr>
        <w:tcBorders>
          <w:top w:val="single" w:sz="8" w:space="0" w:color="000000"/>
          <w:left w:val="single" w:sz="8" w:space="0" w:color="000000"/>
          <w:bottom w:val="single" w:sz="8" w:space="0" w:color="000000"/>
          <w:right w:val="single" w:sz="8" w:space="0" w:color="000000"/>
          <w:insideV w:val="single" w:sz="8" w:space="0" w:color="000000"/>
        </w:tcBorders>
      </w:tcPr>
    </w:tblStylePr>
    <w:tblStylePr w:type="firstCol">
      <w:pPr/>
      <w:rPr>
        <w:rFonts w:ascii="Calibri" w:cs="Times New Roman" w:eastAsia="ＭＳ ゴシック" w:hAnsi="Calibri"/>
        <w:b/>
        <w:bCs/>
      </w:rPr>
      <w:tcPr>
        <w:tcBorders/>
      </w:tcPr>
    </w:tblStylePr>
    <w:tblStylePr w:type="lastCol">
      <w:pPr/>
      <w:rPr>
        <w:rFonts w:ascii="Calibri" w:cs="Times New Roman" w:eastAsia="ＭＳ ゴシック" w:hAnsi="Calibri"/>
        <w:b/>
        <w:bCs/>
      </w:rPr>
      <w:tblPr/>
      <w:tcPr>
        <w:tcBorders>
          <w:top w:val="single" w:sz="8" w:space="0" w:color="000000"/>
          <w:left w:val="single" w:sz="8" w:space="0" w:color="000000"/>
          <w:bottom w:val="single" w:sz="8" w:space="0" w:color="000000"/>
          <w:right w:val="single" w:sz="8" w:space="0" w:color="000000"/>
        </w:tcBorders>
      </w:tcPr>
    </w:tblStylePr>
    <w:tblStylePr w:type="band1Vert">
      <w:pPr/>
      <w:tblPr/>
      <w:tcPr>
        <w:tcBorders>
          <w:top w:val="single" w:sz="8" w:space="0" w:color="000000"/>
          <w:left w:val="single" w:sz="8" w:space="0" w:color="000000"/>
          <w:bottom w:val="single" w:sz="8" w:space="0" w:color="000000"/>
          <w:right w:val="single" w:sz="8" w:space="0" w:color="000000"/>
        </w:tcBorders>
        <w:shd w:val="clear" w:color="auto" w:fill="c0c0c0"/>
      </w:tcPr>
    </w:tblStylePr>
    <w:tcPr>
      <w:tcBorders/>
    </w:tcPr>
  </w:style>
  <w:style w:type="table" w:styleId="style174">
    <w:name w:val="Light Grid Accent 1"/>
    <w:basedOn w:val="style105"/>
    <w:next w:val="style174"/>
    <w:uiPriority w:val="62"/>
    <w:pPr>
      <w:spacing w:after="0" w:lineRule="auto" w:line="240"/>
    </w:pP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Rule="auto" w:line="240"/>
      </w:pPr>
      <w:rPr>
        <w:rFonts w:ascii="Calibri" w:cs="Times New Roman" w:eastAsia="ＭＳ ゴシック" w:hAnsi="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Rule="auto" w:line="240"/>
      </w:pPr>
      <w:rPr>
        <w:rFonts w:ascii="Calibri" w:cs="Times New Roman" w:eastAsia="ＭＳ ゴシック" w:hAnsi="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pPr/>
      <w:tblPr/>
      <w:tcPr>
        <w:tcBorders>
          <w:top w:val="single" w:sz="8" w:space="0" w:color="4f81bd"/>
          <w:left w:val="single" w:sz="8" w:space="0" w:color="4f81bd"/>
          <w:bottom w:val="single" w:sz="8" w:space="0" w:color="4f81bd"/>
          <w:right w:val="single" w:sz="8" w:space="0" w:color="4f81bd"/>
          <w:insideV w:val="single" w:sz="8" w:space="0" w:color="4f81bd"/>
        </w:tcBorders>
      </w:tcPr>
    </w:tblStylePr>
    <w:tblStylePr w:type="firstCol">
      <w:pPr/>
      <w:rPr>
        <w:rFonts w:ascii="Calibri" w:cs="Times New Roman" w:eastAsia="ＭＳ ゴシック" w:hAnsi="Calibri"/>
        <w:b/>
        <w:bCs/>
      </w:rPr>
      <w:tcPr>
        <w:tcBorders/>
      </w:tcPr>
    </w:tblStylePr>
    <w:tblStylePr w:type="lastCol">
      <w:pPr/>
      <w:rPr>
        <w:rFonts w:ascii="Calibri" w:cs="Times New Roman" w:eastAsia="ＭＳ ゴシック" w:hAnsi="Calibri"/>
        <w:b/>
        <w:bCs/>
      </w:rPr>
      <w:tblPr/>
      <w:tcPr>
        <w:tcBorders>
          <w:top w:val="single" w:sz="8" w:space="0" w:color="4f81bd"/>
          <w:left w:val="single" w:sz="8" w:space="0" w:color="4f81bd"/>
          <w:bottom w:val="single" w:sz="8" w:space="0" w:color="4f81bd"/>
          <w:right w:val="single" w:sz="8" w:space="0" w:color="4f81bd"/>
        </w:tcBorders>
      </w:tcPr>
    </w:tblStylePr>
    <w:tblStylePr w:type="band1Vert">
      <w:pPr/>
      <w:tblPr/>
      <w:tcPr>
        <w:tcBorders>
          <w:top w:val="single" w:sz="8" w:space="0" w:color="4f81bd"/>
          <w:left w:val="single" w:sz="8" w:space="0" w:color="4f81bd"/>
          <w:bottom w:val="single" w:sz="8" w:space="0" w:color="4f81bd"/>
          <w:right w:val="single" w:sz="8" w:space="0" w:color="4f81bd"/>
        </w:tcBorders>
        <w:shd w:val="clear" w:color="auto" w:fill="d3dfee"/>
      </w:tcPr>
    </w:tblStylePr>
    <w:tcPr>
      <w:tcBorders/>
    </w:tcPr>
  </w:style>
  <w:style w:type="table" w:styleId="style192">
    <w:name w:val="Light Grid Accent 2"/>
    <w:basedOn w:val="style105"/>
    <w:next w:val="style192"/>
    <w:uiPriority w:val="62"/>
    <w:pPr>
      <w:spacing w:after="0" w:lineRule="auto" w:line="240"/>
    </w:pP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Rule="auto" w:line="240"/>
      </w:pPr>
      <w:rPr>
        <w:rFonts w:ascii="Calibri" w:cs="Times New Roman" w:eastAsia="ＭＳ ゴシック" w:hAnsi="Calibr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Rule="auto" w:line="240"/>
      </w:pPr>
      <w:rPr>
        <w:rFonts w:ascii="Calibri" w:cs="Times New Roman" w:eastAsia="ＭＳ ゴシック" w:hAnsi="Calibr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pPr/>
      <w:tblPr/>
      <w:tcPr>
        <w:tcBorders>
          <w:top w:val="single" w:sz="8" w:space="0" w:color="c0504d"/>
          <w:left w:val="single" w:sz="8" w:space="0" w:color="c0504d"/>
          <w:bottom w:val="single" w:sz="8" w:space="0" w:color="c0504d"/>
          <w:right w:val="single" w:sz="8" w:space="0" w:color="c0504d"/>
          <w:insideV w:val="single" w:sz="8" w:space="0" w:color="c0504d"/>
        </w:tcBorders>
      </w:tcPr>
    </w:tblStylePr>
    <w:tblStylePr w:type="firstCol">
      <w:pPr/>
      <w:rPr>
        <w:rFonts w:ascii="Calibri" w:cs="Times New Roman" w:eastAsia="ＭＳ ゴシック" w:hAnsi="Calibri"/>
        <w:b/>
        <w:bCs/>
      </w:rPr>
      <w:tcPr>
        <w:tcBorders/>
      </w:tcPr>
    </w:tblStylePr>
    <w:tblStylePr w:type="lastCol">
      <w:pPr/>
      <w:rPr>
        <w:rFonts w:ascii="Calibri" w:cs="Times New Roman" w:eastAsia="ＭＳ ゴシック" w:hAnsi="Calibri"/>
        <w:b/>
        <w:bCs/>
      </w:rPr>
      <w:tblPr/>
      <w:tcPr>
        <w:tcBorders>
          <w:top w:val="single" w:sz="8" w:space="0" w:color="c0504d"/>
          <w:left w:val="single" w:sz="8" w:space="0" w:color="c0504d"/>
          <w:bottom w:val="single" w:sz="8" w:space="0" w:color="c0504d"/>
          <w:right w:val="single" w:sz="8" w:space="0" w:color="c0504d"/>
        </w:tcBorders>
      </w:tcPr>
    </w:tblStylePr>
    <w:tblStylePr w:type="band1Vert">
      <w:pPr/>
      <w:tblPr/>
      <w:tcPr>
        <w:tcBorders>
          <w:top w:val="single" w:sz="8" w:space="0" w:color="c0504d"/>
          <w:left w:val="single" w:sz="8" w:space="0" w:color="c0504d"/>
          <w:bottom w:val="single" w:sz="8" w:space="0" w:color="c0504d"/>
          <w:right w:val="single" w:sz="8" w:space="0" w:color="c0504d"/>
        </w:tcBorders>
        <w:shd w:val="clear" w:color="auto" w:fill="efd3d2"/>
      </w:tcPr>
    </w:tblStylePr>
    <w:tcPr>
      <w:tcBorders/>
    </w:tcPr>
  </w:style>
  <w:style w:type="table" w:styleId="style206">
    <w:name w:val="Light Grid Accent 3"/>
    <w:basedOn w:val="style105"/>
    <w:next w:val="style206"/>
    <w:uiPriority w:val="62"/>
    <w:pPr>
      <w:spacing w:after="0" w:lineRule="auto" w:line="240"/>
    </w:pP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Rule="auto" w:line="240"/>
      </w:pPr>
      <w:rPr>
        <w:rFonts w:ascii="Calibri" w:cs="Times New Roman" w:eastAsia="ＭＳ ゴシック" w:hAnsi="Calibr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Rule="auto" w:line="240"/>
      </w:pPr>
      <w:rPr>
        <w:rFonts w:ascii="Calibri" w:cs="Times New Roman" w:eastAsia="ＭＳ ゴシック" w:hAnsi="Calibr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pPr/>
      <w:tblPr/>
      <w:tcPr>
        <w:tcBorders>
          <w:top w:val="single" w:sz="8" w:space="0" w:color="9bbb59"/>
          <w:left w:val="single" w:sz="8" w:space="0" w:color="9bbb59"/>
          <w:bottom w:val="single" w:sz="8" w:space="0" w:color="9bbb59"/>
          <w:right w:val="single" w:sz="8" w:space="0" w:color="9bbb59"/>
          <w:insideV w:val="single" w:sz="8" w:space="0" w:color="9bbb59"/>
        </w:tcBorders>
      </w:tcPr>
    </w:tblStylePr>
    <w:tblStylePr w:type="firstCol">
      <w:pPr/>
      <w:rPr>
        <w:rFonts w:ascii="Calibri" w:cs="Times New Roman" w:eastAsia="ＭＳ ゴシック" w:hAnsi="Calibri"/>
        <w:b/>
        <w:bCs/>
      </w:rPr>
      <w:tcPr>
        <w:tcBorders/>
      </w:tcPr>
    </w:tblStylePr>
    <w:tblStylePr w:type="lastCol">
      <w:pPr/>
      <w:rPr>
        <w:rFonts w:ascii="Calibri" w:cs="Times New Roman" w:eastAsia="ＭＳ ゴシック" w:hAnsi="Calibri"/>
        <w:b/>
        <w:bCs/>
      </w:rPr>
      <w:tblPr/>
      <w:tcPr>
        <w:tcBorders>
          <w:top w:val="single" w:sz="8" w:space="0" w:color="9bbb59"/>
          <w:left w:val="single" w:sz="8" w:space="0" w:color="9bbb59"/>
          <w:bottom w:val="single" w:sz="8" w:space="0" w:color="9bbb59"/>
          <w:right w:val="single" w:sz="8" w:space="0" w:color="9bbb59"/>
        </w:tcBorders>
      </w:tcPr>
    </w:tblStylePr>
    <w:tblStylePr w:type="band1Vert">
      <w:pPr/>
      <w:tblPr/>
      <w:tcPr>
        <w:tcBorders>
          <w:top w:val="single" w:sz="8" w:space="0" w:color="9bbb59"/>
          <w:left w:val="single" w:sz="8" w:space="0" w:color="9bbb59"/>
          <w:bottom w:val="single" w:sz="8" w:space="0" w:color="9bbb59"/>
          <w:right w:val="single" w:sz="8" w:space="0" w:color="9bbb59"/>
        </w:tcBorders>
        <w:shd w:val="clear" w:color="auto" w:fill="e6eed5"/>
      </w:tcPr>
    </w:tblStylePr>
    <w:tcPr>
      <w:tcBorders/>
    </w:tcPr>
  </w:style>
  <w:style w:type="table" w:styleId="style220">
    <w:name w:val="Light Grid Accent 4"/>
    <w:basedOn w:val="style105"/>
    <w:next w:val="style220"/>
    <w:uiPriority w:val="62"/>
    <w:pPr>
      <w:spacing w:after="0" w:lineRule="auto" w:line="240"/>
    </w:pP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Rule="auto" w:line="240"/>
      </w:pPr>
      <w:rPr>
        <w:rFonts w:ascii="Calibri" w:cs="Times New Roman" w:eastAsia="ＭＳ ゴシック" w:hAnsi="Calibri"/>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Rule="auto" w:line="240"/>
      </w:pPr>
      <w:rPr>
        <w:rFonts w:ascii="Calibri" w:cs="Times New Roman" w:eastAsia="ＭＳ ゴシック" w:hAnsi="Calibri"/>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pPr/>
      <w:tblPr/>
      <w:tcPr>
        <w:tcBorders>
          <w:top w:val="single" w:sz="8" w:space="0" w:color="8064a2"/>
          <w:left w:val="single" w:sz="8" w:space="0" w:color="8064a2"/>
          <w:bottom w:val="single" w:sz="8" w:space="0" w:color="8064a2"/>
          <w:right w:val="single" w:sz="8" w:space="0" w:color="8064a2"/>
          <w:insideV w:val="single" w:sz="8" w:space="0" w:color="8064a2"/>
        </w:tcBorders>
      </w:tcPr>
    </w:tblStylePr>
    <w:tblStylePr w:type="firstCol">
      <w:pPr/>
      <w:rPr>
        <w:rFonts w:ascii="Calibri" w:cs="Times New Roman" w:eastAsia="ＭＳ ゴシック" w:hAnsi="Calibri"/>
        <w:b/>
        <w:bCs/>
      </w:rPr>
      <w:tcPr>
        <w:tcBorders/>
      </w:tcPr>
    </w:tblStylePr>
    <w:tblStylePr w:type="lastCol">
      <w:pPr/>
      <w:rPr>
        <w:rFonts w:ascii="Calibri" w:cs="Times New Roman" w:eastAsia="ＭＳ ゴシック" w:hAnsi="Calibri"/>
        <w:b/>
        <w:bCs/>
      </w:rPr>
      <w:tblPr/>
      <w:tcPr>
        <w:tcBorders>
          <w:top w:val="single" w:sz="8" w:space="0" w:color="8064a2"/>
          <w:left w:val="single" w:sz="8" w:space="0" w:color="8064a2"/>
          <w:bottom w:val="single" w:sz="8" w:space="0" w:color="8064a2"/>
          <w:right w:val="single" w:sz="8" w:space="0" w:color="8064a2"/>
        </w:tcBorders>
      </w:tcPr>
    </w:tblStylePr>
    <w:tblStylePr w:type="band1Vert">
      <w:pPr/>
      <w:tblPr/>
      <w:tcPr>
        <w:tcBorders>
          <w:top w:val="single" w:sz="8" w:space="0" w:color="8064a2"/>
          <w:left w:val="single" w:sz="8" w:space="0" w:color="8064a2"/>
          <w:bottom w:val="single" w:sz="8" w:space="0" w:color="8064a2"/>
          <w:right w:val="single" w:sz="8" w:space="0" w:color="8064a2"/>
        </w:tcBorders>
        <w:shd w:val="clear" w:color="auto" w:fill="dfd8e8"/>
      </w:tcPr>
    </w:tblStylePr>
    <w:tcPr>
      <w:tcBorders/>
    </w:tcPr>
  </w:style>
  <w:style w:type="table" w:styleId="style234">
    <w:name w:val="Light Grid Accent 5"/>
    <w:basedOn w:val="style105"/>
    <w:next w:val="style234"/>
    <w:uiPriority w:val="62"/>
    <w:pPr>
      <w:spacing w:after="0" w:lineRule="auto" w:line="240"/>
    </w:pP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Rule="auto" w:line="240"/>
      </w:pPr>
      <w:rPr>
        <w:rFonts w:ascii="Calibri" w:cs="Times New Roman" w:eastAsia="ＭＳ ゴシック" w:hAnsi="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Rule="auto" w:line="240"/>
      </w:pPr>
      <w:rPr>
        <w:rFonts w:ascii="Calibri" w:cs="Times New Roman" w:eastAsia="ＭＳ ゴシック" w:hAnsi="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pPr/>
      <w:tblPr/>
      <w:tcPr>
        <w:tcBorders>
          <w:top w:val="single" w:sz="8" w:space="0" w:color="4bacc6"/>
          <w:left w:val="single" w:sz="8" w:space="0" w:color="4bacc6"/>
          <w:bottom w:val="single" w:sz="8" w:space="0" w:color="4bacc6"/>
          <w:right w:val="single" w:sz="8" w:space="0" w:color="4bacc6"/>
          <w:insideV w:val="single" w:sz="8" w:space="0" w:color="4bacc6"/>
        </w:tcBorders>
      </w:tcPr>
    </w:tblStylePr>
    <w:tblStylePr w:type="firstCol">
      <w:pPr/>
      <w:rPr>
        <w:rFonts w:ascii="Calibri" w:cs="Times New Roman" w:eastAsia="ＭＳ ゴシック" w:hAnsi="Calibri"/>
        <w:b/>
        <w:bCs/>
      </w:rPr>
      <w:tcPr>
        <w:tcBorders/>
      </w:tcPr>
    </w:tblStylePr>
    <w:tblStylePr w:type="lastCol">
      <w:pPr/>
      <w:rPr>
        <w:rFonts w:ascii="Calibri" w:cs="Times New Roman" w:eastAsia="ＭＳ ゴシック" w:hAnsi="Calibri"/>
        <w:b/>
        <w:bCs/>
      </w:rPr>
      <w:tblPr/>
      <w:tcPr>
        <w:tcBorders>
          <w:top w:val="single" w:sz="8" w:space="0" w:color="4bacc6"/>
          <w:left w:val="single" w:sz="8" w:space="0" w:color="4bacc6"/>
          <w:bottom w:val="single" w:sz="8" w:space="0" w:color="4bacc6"/>
          <w:right w:val="single" w:sz="8" w:space="0" w:color="4bacc6"/>
        </w:tcBorders>
      </w:tcPr>
    </w:tblStylePr>
    <w:tblStylePr w:type="band1Vert">
      <w:pPr/>
      <w:tblPr/>
      <w:tcPr>
        <w:tcBorders>
          <w:top w:val="single" w:sz="8" w:space="0" w:color="4bacc6"/>
          <w:left w:val="single" w:sz="8" w:space="0" w:color="4bacc6"/>
          <w:bottom w:val="single" w:sz="8" w:space="0" w:color="4bacc6"/>
          <w:right w:val="single" w:sz="8" w:space="0" w:color="4bacc6"/>
        </w:tcBorders>
        <w:shd w:val="clear" w:color="auto" w:fill="d2eaf1"/>
      </w:tcPr>
    </w:tblStylePr>
    <w:tcPr>
      <w:tcBorders/>
    </w:tcPr>
  </w:style>
  <w:style w:type="table" w:styleId="style248">
    <w:name w:val="Light Grid Accent 6"/>
    <w:basedOn w:val="style105"/>
    <w:next w:val="style248"/>
    <w:uiPriority w:val="62"/>
    <w:pPr>
      <w:spacing w:after="0" w:lineRule="auto" w:line="240"/>
    </w:pP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Rule="auto" w:line="240"/>
      </w:pPr>
      <w:rPr>
        <w:rFonts w:ascii="Calibri" w:cs="Times New Roman" w:eastAsia="ＭＳ ゴシック" w:hAnsi="Calibri"/>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Rule="auto" w:line="240"/>
      </w:pPr>
      <w:rPr>
        <w:rFonts w:ascii="Calibri" w:cs="Times New Roman" w:eastAsia="ＭＳ ゴシック" w:hAnsi="Calibri"/>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pPr/>
      <w:tblPr/>
      <w:tcPr>
        <w:tcBorders>
          <w:top w:val="single" w:sz="8" w:space="0" w:color="f79646"/>
          <w:left w:val="single" w:sz="8" w:space="0" w:color="f79646"/>
          <w:bottom w:val="single" w:sz="8" w:space="0" w:color="f79646"/>
          <w:right w:val="single" w:sz="8" w:space="0" w:color="f79646"/>
          <w:insideV w:val="single" w:sz="8" w:space="0" w:color="f79646"/>
        </w:tcBorders>
      </w:tcPr>
    </w:tblStylePr>
    <w:tblStylePr w:type="firstCol">
      <w:pPr/>
      <w:rPr>
        <w:rFonts w:ascii="Calibri" w:cs="Times New Roman" w:eastAsia="ＭＳ ゴシック" w:hAnsi="Calibri"/>
        <w:b/>
        <w:bCs/>
      </w:rPr>
      <w:tcPr>
        <w:tcBorders/>
      </w:tcPr>
    </w:tblStylePr>
    <w:tblStylePr w:type="lastCol">
      <w:pPr/>
      <w:rPr>
        <w:rFonts w:ascii="Calibri" w:cs="Times New Roman" w:eastAsia="ＭＳ ゴシック" w:hAnsi="Calibri"/>
        <w:b/>
        <w:bCs/>
      </w:rPr>
      <w:tblPr/>
      <w:tcPr>
        <w:tcBorders>
          <w:top w:val="single" w:sz="8" w:space="0" w:color="f79646"/>
          <w:left w:val="single" w:sz="8" w:space="0" w:color="f79646"/>
          <w:bottom w:val="single" w:sz="8" w:space="0" w:color="f79646"/>
          <w:right w:val="single" w:sz="8" w:space="0" w:color="f79646"/>
        </w:tcBorders>
      </w:tcPr>
    </w:tblStylePr>
    <w:tblStylePr w:type="band1Vert">
      <w:pPr/>
      <w:tblPr/>
      <w:tcPr>
        <w:tcBorders>
          <w:top w:val="single" w:sz="8" w:space="0" w:color="f79646"/>
          <w:left w:val="single" w:sz="8" w:space="0" w:color="f79646"/>
          <w:bottom w:val="single" w:sz="8" w:space="0" w:color="f79646"/>
          <w:right w:val="single" w:sz="8" w:space="0" w:color="f79646"/>
        </w:tcBorders>
        <w:shd w:val="clear" w:color="auto" w:fill="fde4d0"/>
      </w:tcPr>
    </w:tblStylePr>
    <w:tcPr>
      <w:tcBorders/>
    </w:tcPr>
  </w:style>
  <w:style w:type="table" w:styleId="style161">
    <w:name w:val="Medium Shading 1"/>
    <w:basedOn w:val="style105"/>
    <w:next w:val="style161"/>
    <w:uiPriority w:val="63"/>
    <w:pPr>
      <w:spacing w:after="0" w:lineRule="auto" w:line="240"/>
    </w:pP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Rule="auto" w:line="24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Rule="auto" w:line="24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band1Horz">
      <w:pPr/>
      <w:tblPr/>
      <w:tcPr>
        <w:tcBorders>
          <w:insideH w:val="nil"/>
          <w:insideV w:val="nil"/>
        </w:tcBorders>
        <w:shd w:val="clear" w:color="auto" w:fill="c0c0c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c0c0c0"/>
      </w:tcPr>
    </w:tblStylePr>
    <w:tcPr>
      <w:tcBorders/>
    </w:tcPr>
  </w:style>
  <w:style w:type="table" w:styleId="style175">
    <w:name w:val="Medium Shading 1 Accent 1"/>
    <w:basedOn w:val="style105"/>
    <w:next w:val="style175"/>
    <w:uiPriority w:val="63"/>
    <w:pPr>
      <w:spacing w:after="0" w:lineRule="auto" w:line="240"/>
    </w:pP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Rule="auto" w:line="24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Rule="auto" w:line="24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Horz">
      <w:pPr/>
      <w:tblPr/>
      <w:tcPr>
        <w:tcBorders>
          <w:insideH w:val="nil"/>
          <w:insideV w:val="nil"/>
        </w:tcBorders>
        <w:shd w:val="clear" w:color="auto" w:fill="d3dfee"/>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3dfee"/>
      </w:tcPr>
    </w:tblStylePr>
    <w:tcPr>
      <w:tcBorders/>
    </w:tcPr>
  </w:style>
  <w:style w:type="table" w:styleId="style193">
    <w:name w:val="Medium Shading 1 Accent 2"/>
    <w:basedOn w:val="style105"/>
    <w:next w:val="style193"/>
    <w:uiPriority w:val="63"/>
    <w:pPr>
      <w:spacing w:after="0" w:lineRule="auto" w:line="240"/>
    </w:pP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Rule="auto" w:line="24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Rule="auto" w:line="24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Horz">
      <w:pPr/>
      <w:tblPr/>
      <w:tcPr>
        <w:tcBorders>
          <w:insideH w:val="nil"/>
          <w:insideV w:val="nil"/>
        </w:tcBorders>
        <w:shd w:val="clear" w:color="auto" w:fill="efd3d2"/>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fd3d2"/>
      </w:tcPr>
    </w:tblStylePr>
    <w:tcPr>
      <w:tcBorders/>
    </w:tcPr>
  </w:style>
  <w:style w:type="table" w:styleId="style207">
    <w:name w:val="Medium Shading 1 Accent 3"/>
    <w:basedOn w:val="style105"/>
    <w:next w:val="style207"/>
    <w:uiPriority w:val="63"/>
    <w:pPr>
      <w:spacing w:after="0" w:lineRule="auto" w:line="240"/>
    </w:pP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Rule="auto" w:line="24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Rule="auto" w:line="24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Horz">
      <w:pPr/>
      <w:tblPr/>
      <w:tcPr>
        <w:tcBorders>
          <w:insideH w:val="nil"/>
          <w:insideV w:val="nil"/>
        </w:tcBorders>
        <w:shd w:val="clear" w:color="auto" w:fill="e6eed5"/>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6eed5"/>
      </w:tcPr>
    </w:tblStylePr>
    <w:tcPr>
      <w:tcBorders/>
    </w:tcPr>
  </w:style>
  <w:style w:type="table" w:styleId="style221">
    <w:name w:val="Medium Shading 1 Accent 4"/>
    <w:basedOn w:val="style105"/>
    <w:next w:val="style221"/>
    <w:uiPriority w:val="63"/>
    <w:pPr>
      <w:spacing w:after="0" w:lineRule="auto" w:line="240"/>
    </w:pP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Rule="auto" w:line="24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Rule="auto" w:line="24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Horz">
      <w:pPr/>
      <w:tblPr/>
      <w:tcPr>
        <w:tcBorders>
          <w:insideH w:val="nil"/>
          <w:insideV w:val="nil"/>
        </w:tcBorders>
        <w:shd w:val="clear" w:color="auto" w:fill="dfd8e8"/>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fd8e8"/>
      </w:tcPr>
    </w:tblStylePr>
    <w:tcPr>
      <w:tcBorders/>
    </w:tcPr>
  </w:style>
  <w:style w:type="table" w:styleId="style235">
    <w:name w:val="Medium Shading 1 Accent 5"/>
    <w:basedOn w:val="style105"/>
    <w:next w:val="style235"/>
    <w:uiPriority w:val="63"/>
    <w:pPr>
      <w:spacing w:after="0" w:lineRule="auto" w:line="240"/>
    </w:pP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Rule="auto" w:line="24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Rule="auto" w:line="24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Horz">
      <w:pPr/>
      <w:tblPr/>
      <w:tcPr>
        <w:tcBorders>
          <w:insideH w:val="nil"/>
          <w:insideV w:val="nil"/>
        </w:tcBorders>
        <w:shd w:val="clear" w:color="auto" w:fill="d2eaf1"/>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2eaf1"/>
      </w:tcPr>
    </w:tblStylePr>
    <w:tcPr>
      <w:tcBorders/>
    </w:tcPr>
  </w:style>
  <w:style w:type="table" w:styleId="style249">
    <w:name w:val="Medium Shading 1 Accent 6"/>
    <w:basedOn w:val="style105"/>
    <w:next w:val="style249"/>
    <w:uiPriority w:val="63"/>
    <w:pPr>
      <w:spacing w:after="0" w:lineRule="auto" w:line="240"/>
    </w:pP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Rule="auto" w:line="24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Rule="auto" w:line="24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Horz">
      <w:pPr/>
      <w:tblPr/>
      <w:tcPr>
        <w:tcBorders>
          <w:insideH w:val="nil"/>
          <w:insideV w:val="nil"/>
        </w:tcBorders>
        <w:shd w:val="clear" w:color="auto" w:fill="fde4d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fde4d0"/>
      </w:tcPr>
    </w:tblStylePr>
    <w:tcPr>
      <w:tcBorders/>
    </w:tcPr>
  </w:style>
  <w:style w:type="table" w:styleId="style162">
    <w:name w:val="Medium Shading 2"/>
    <w:basedOn w:val="style105"/>
    <w:next w:val="style162"/>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000000"/>
      </w:tcPr>
    </w:tblStylePr>
    <w:tblStylePr w:type="lastCol">
      <w:pPr/>
      <w:rPr>
        <w:b/>
        <w:bCs/>
        <w:color w:val="ffffff"/>
      </w:rPr>
      <w:tblPr/>
      <w:tcPr>
        <w:tcBorders>
          <w:left w:val="nil"/>
          <w:right w:val="nil"/>
          <w:insideH w:val="nil"/>
          <w:insideV w:val="nil"/>
        </w:tcBorders>
        <w:shd w:val="clear" w:color="auto" w:fill="000000"/>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76">
    <w:name w:val="Medium Shading 2 Accent 1"/>
    <w:basedOn w:val="style105"/>
    <w:next w:val="style176"/>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f81bd"/>
      </w:tcPr>
    </w:tblStylePr>
    <w:tblStylePr w:type="lastCol">
      <w:pPr/>
      <w:rPr>
        <w:b/>
        <w:bCs/>
        <w:color w:val="ffffff"/>
      </w:rPr>
      <w:tblPr/>
      <w:tcPr>
        <w:tcBorders>
          <w:left w:val="nil"/>
          <w:right w:val="nil"/>
          <w:insideH w:val="nil"/>
          <w:insideV w:val="nil"/>
        </w:tcBorders>
        <w:shd w:val="clear" w:color="auto" w:fill="4f81b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94">
    <w:name w:val="Medium Shading 2 Accent 2"/>
    <w:basedOn w:val="style105"/>
    <w:next w:val="style194"/>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c0504d"/>
      </w:tcPr>
    </w:tblStylePr>
    <w:tblStylePr w:type="lastCol">
      <w:pPr/>
      <w:rPr>
        <w:b/>
        <w:bCs/>
        <w:color w:val="ffffff"/>
      </w:rPr>
      <w:tblPr/>
      <w:tcPr>
        <w:tcBorders>
          <w:left w:val="nil"/>
          <w:right w:val="nil"/>
          <w:insideH w:val="nil"/>
          <w:insideV w:val="nil"/>
        </w:tcBorders>
        <w:shd w:val="clear" w:color="auto" w:fill="c0504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08">
    <w:name w:val="Medium Shading 2 Accent 3"/>
    <w:basedOn w:val="style105"/>
    <w:next w:val="style208"/>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9bbb59"/>
      </w:tcPr>
    </w:tblStylePr>
    <w:tblStylePr w:type="lastCol">
      <w:pPr/>
      <w:rPr>
        <w:b/>
        <w:bCs/>
        <w:color w:val="ffffff"/>
      </w:rPr>
      <w:tblPr/>
      <w:tcPr>
        <w:tcBorders>
          <w:left w:val="nil"/>
          <w:right w:val="nil"/>
          <w:insideH w:val="nil"/>
          <w:insideV w:val="nil"/>
        </w:tcBorders>
        <w:shd w:val="clear" w:color="auto" w:fill="9bbb59"/>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22">
    <w:name w:val="Medium Shading 2 Accent 4"/>
    <w:basedOn w:val="style105"/>
    <w:next w:val="style222"/>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8064a2"/>
      </w:tcPr>
    </w:tblStylePr>
    <w:tblStylePr w:type="lastCol">
      <w:pPr/>
      <w:rPr>
        <w:b/>
        <w:bCs/>
        <w:color w:val="ffffff"/>
      </w:rPr>
      <w:tblPr/>
      <w:tcPr>
        <w:tcBorders>
          <w:left w:val="nil"/>
          <w:right w:val="nil"/>
          <w:insideH w:val="nil"/>
          <w:insideV w:val="nil"/>
        </w:tcBorders>
        <w:shd w:val="clear" w:color="auto" w:fill="8064a2"/>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36">
    <w:name w:val="Medium Shading 2 Accent 5"/>
    <w:basedOn w:val="style105"/>
    <w:next w:val="style236"/>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bacc6"/>
      </w:tcPr>
    </w:tblStylePr>
    <w:tblStylePr w:type="lastCol">
      <w:pPr/>
      <w:rPr>
        <w:b/>
        <w:bCs/>
        <w:color w:val="ffffff"/>
      </w:rPr>
      <w:tblPr/>
      <w:tcPr>
        <w:tcBorders>
          <w:left w:val="nil"/>
          <w:right w:val="nil"/>
          <w:insideH w:val="nil"/>
          <w:insideV w:val="nil"/>
        </w:tcBorders>
        <w:shd w:val="clear" w:color="auto" w:fill="4bacc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50">
    <w:name w:val="Medium Shading 2 Accent 6"/>
    <w:basedOn w:val="style105"/>
    <w:next w:val="style250"/>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f79646"/>
      </w:tcPr>
    </w:tblStylePr>
    <w:tblStylePr w:type="lastCol">
      <w:pPr/>
      <w:rPr>
        <w:b/>
        <w:bCs/>
        <w:color w:val="ffffff"/>
      </w:rPr>
      <w:tblPr/>
      <w:tcPr>
        <w:tcBorders>
          <w:left w:val="nil"/>
          <w:right w:val="nil"/>
          <w:insideH w:val="nil"/>
          <w:insideV w:val="nil"/>
        </w:tcBorders>
        <w:shd w:val="clear" w:color="auto" w:fill="f7964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63">
    <w:name w:val="Medium List 1"/>
    <w:basedOn w:val="style105"/>
    <w:next w:val="style163"/>
    <w:uiPriority w:val="65"/>
    <w:pPr>
      <w:spacing w:after="0" w:lineRule="auto" w:line="240"/>
    </w:pPr>
    <w:rPr>
      <w:color w:val="000000"/>
    </w:rPr>
    <w:tblPr>
      <w:tblStyleRowBandSize w:val="1"/>
      <w:tblStyleColBandSize w:val="1"/>
      <w:tblBorders>
        <w:top w:val="single" w:sz="8" w:space="0" w:color="000000"/>
        <w:bottom w:val="single" w:sz="8" w:space="0" w:color="000000"/>
      </w:tblBorders>
    </w:tblPr>
    <w:tblStylePr w:type="firstRow">
      <w:pPr/>
      <w:rPr>
        <w:rFonts w:ascii="Calibri" w:cs="Times New Roman" w:eastAsia="ＭＳ ゴシック" w:hAnsi="Calibri"/>
      </w:rPr>
      <w:tblPr/>
      <w:tcPr>
        <w:tcBorders>
          <w:top w:val="nil"/>
          <w:bottom w:val="single" w:sz="8" w:space="0" w:color="000000"/>
        </w:tcBorders>
      </w:tcPr>
    </w:tblStylePr>
    <w:tblStylePr w:type="lastRow">
      <w:pPr/>
      <w:rPr>
        <w:b/>
        <w:bCs/>
        <w:color w:val="1f497d"/>
      </w:rPr>
      <w:tblPr/>
      <w:tcPr>
        <w:tcBorders>
          <w:top w:val="single" w:sz="8" w:space="0" w:color="000000"/>
          <w:bottom w:val="single" w:sz="8" w:space="0" w:color="000000"/>
        </w:tcBorders>
      </w:tcPr>
    </w:tblStylePr>
    <w:tblStylePr w:type="band1Horz">
      <w:pPr/>
      <w:tblPr/>
      <w:tcPr>
        <w:tcBorders/>
        <w:shd w:val="clear" w:color="auto" w:fill="c0c0c0"/>
      </w:tcPr>
    </w:tblStylePr>
    <w:tblStylePr w:type="firstCol">
      <w:pPr/>
      <w:rPr>
        <w:b/>
        <w:bCs/>
      </w:rPr>
      <w:tcPr>
        <w:tcBorders/>
      </w:tcPr>
    </w:tblStylePr>
    <w:tblStylePr w:type="lastCol">
      <w:pPr/>
      <w:rPr>
        <w:b/>
        <w:bCs/>
      </w:rPr>
      <w:tblPr/>
      <w:tcPr>
        <w:tcBorders>
          <w:top w:val="single" w:sz="8" w:space="0" w:color="000000"/>
          <w:bottom w:val="single" w:sz="8" w:space="0" w:color="000000"/>
        </w:tcBorders>
      </w:tcPr>
    </w:tblStylePr>
    <w:tblStylePr w:type="band1Vert">
      <w:pPr/>
      <w:tblPr/>
      <w:tcPr>
        <w:tcBorders/>
        <w:shd w:val="clear" w:color="auto" w:fill="c0c0c0"/>
      </w:tcPr>
    </w:tblStylePr>
    <w:tcPr>
      <w:tcBorders/>
    </w:tcPr>
  </w:style>
  <w:style w:type="table" w:styleId="style177">
    <w:name w:val="Medium List 1 Accent 1"/>
    <w:basedOn w:val="style105"/>
    <w:next w:val="style177"/>
    <w:uiPriority w:val="65"/>
    <w:pPr>
      <w:spacing w:after="0" w:lineRule="auto" w:line="240"/>
    </w:pPr>
    <w:rPr>
      <w:color w:val="000000"/>
    </w:rPr>
    <w:tblPr>
      <w:tblStyleRowBandSize w:val="1"/>
      <w:tblStyleColBandSize w:val="1"/>
      <w:tblBorders>
        <w:top w:val="single" w:sz="8" w:space="0" w:color="4f81bd"/>
        <w:bottom w:val="single" w:sz="8" w:space="0" w:color="4f81bd"/>
      </w:tblBorders>
    </w:tblPr>
    <w:tblStylePr w:type="firstRow">
      <w:pPr/>
      <w:rPr>
        <w:rFonts w:ascii="Calibri" w:cs="Times New Roman" w:eastAsia="ＭＳ ゴシック" w:hAnsi="Calibri"/>
      </w:rPr>
      <w:tblPr/>
      <w:tcPr>
        <w:tcBorders>
          <w:top w:val="nil"/>
          <w:bottom w:val="single" w:sz="8" w:space="0" w:color="4f81bd"/>
        </w:tcBorders>
      </w:tcPr>
    </w:tblStylePr>
    <w:tblStylePr w:type="lastRow">
      <w:pPr/>
      <w:rPr>
        <w:b/>
        <w:bCs/>
        <w:color w:val="1f497d"/>
      </w:rPr>
      <w:tblPr/>
      <w:tcPr>
        <w:tcBorders>
          <w:top w:val="single" w:sz="8" w:space="0" w:color="4f81bd"/>
          <w:bottom w:val="single" w:sz="8" w:space="0" w:color="4f81bd"/>
        </w:tcBorders>
      </w:tcPr>
    </w:tblStylePr>
    <w:tblStylePr w:type="band1Horz">
      <w:pPr/>
      <w:tblPr/>
      <w:tcPr>
        <w:tcBorders/>
        <w:shd w:val="clear" w:color="auto" w:fill="d3dfee"/>
      </w:tcPr>
    </w:tblStylePr>
    <w:tblStylePr w:type="firstCol">
      <w:pPr/>
      <w:rPr>
        <w:b/>
        <w:bCs/>
      </w:rPr>
      <w:tcPr>
        <w:tcBorders/>
      </w:tcPr>
    </w:tblStylePr>
    <w:tblStylePr w:type="lastCol">
      <w:pPr/>
      <w:rPr>
        <w:b/>
        <w:bCs/>
      </w:rPr>
      <w:tblPr/>
      <w:tcPr>
        <w:tcBorders>
          <w:top w:val="single" w:sz="8" w:space="0" w:color="4f81bd"/>
          <w:bottom w:val="single" w:sz="8" w:space="0" w:color="4f81bd"/>
        </w:tcBorders>
      </w:tcPr>
    </w:tblStylePr>
    <w:tblStylePr w:type="band1Vert">
      <w:pPr/>
      <w:tblPr/>
      <w:tcPr>
        <w:tcBorders/>
        <w:shd w:val="clear" w:color="auto" w:fill="d3dfee"/>
      </w:tcPr>
    </w:tblStylePr>
    <w:tcPr>
      <w:tcBorders/>
    </w:tcPr>
  </w:style>
  <w:style w:type="table" w:styleId="style195">
    <w:name w:val="Medium List 1 Accent 2"/>
    <w:basedOn w:val="style105"/>
    <w:next w:val="style195"/>
    <w:uiPriority w:val="65"/>
    <w:pPr>
      <w:spacing w:after="0" w:lineRule="auto" w:line="240"/>
    </w:pPr>
    <w:rPr>
      <w:color w:val="000000"/>
    </w:rPr>
    <w:tblPr>
      <w:tblStyleRowBandSize w:val="1"/>
      <w:tblStyleColBandSize w:val="1"/>
      <w:tblBorders>
        <w:top w:val="single" w:sz="8" w:space="0" w:color="c0504d"/>
        <w:bottom w:val="single" w:sz="8" w:space="0" w:color="c0504d"/>
      </w:tblBorders>
    </w:tblPr>
    <w:tblStylePr w:type="firstRow">
      <w:pPr/>
      <w:rPr>
        <w:rFonts w:ascii="Calibri" w:cs="Times New Roman" w:eastAsia="ＭＳ ゴシック" w:hAnsi="Calibri"/>
      </w:rPr>
      <w:tblPr/>
      <w:tcPr>
        <w:tcBorders>
          <w:top w:val="nil"/>
          <w:bottom w:val="single" w:sz="8" w:space="0" w:color="c0504d"/>
        </w:tcBorders>
      </w:tcPr>
    </w:tblStylePr>
    <w:tblStylePr w:type="lastRow">
      <w:pPr/>
      <w:rPr>
        <w:b/>
        <w:bCs/>
        <w:color w:val="1f497d"/>
      </w:rPr>
      <w:tblPr/>
      <w:tcPr>
        <w:tcBorders>
          <w:top w:val="single" w:sz="8" w:space="0" w:color="c0504d"/>
          <w:bottom w:val="single" w:sz="8" w:space="0" w:color="c0504d"/>
        </w:tcBorders>
      </w:tcPr>
    </w:tblStylePr>
    <w:tblStylePr w:type="band1Horz">
      <w:pPr/>
      <w:tblPr/>
      <w:tcPr>
        <w:tcBorders/>
        <w:shd w:val="clear" w:color="auto" w:fill="efd3d2"/>
      </w:tcPr>
    </w:tblStylePr>
    <w:tblStylePr w:type="firstCol">
      <w:pPr/>
      <w:rPr>
        <w:b/>
        <w:bCs/>
      </w:rPr>
      <w:tcPr>
        <w:tcBorders/>
      </w:tcPr>
    </w:tblStylePr>
    <w:tblStylePr w:type="lastCol">
      <w:pPr/>
      <w:rPr>
        <w:b/>
        <w:bCs/>
      </w:rPr>
      <w:tblPr/>
      <w:tcPr>
        <w:tcBorders>
          <w:top w:val="single" w:sz="8" w:space="0" w:color="c0504d"/>
          <w:bottom w:val="single" w:sz="8" w:space="0" w:color="c0504d"/>
        </w:tcBorders>
      </w:tcPr>
    </w:tblStylePr>
    <w:tblStylePr w:type="band1Vert">
      <w:pPr/>
      <w:tblPr/>
      <w:tcPr>
        <w:tcBorders/>
        <w:shd w:val="clear" w:color="auto" w:fill="efd3d2"/>
      </w:tcPr>
    </w:tblStylePr>
    <w:tcPr>
      <w:tcBorders/>
    </w:tcPr>
  </w:style>
  <w:style w:type="table" w:styleId="style209">
    <w:name w:val="Medium List 1 Accent 3"/>
    <w:basedOn w:val="style105"/>
    <w:next w:val="style209"/>
    <w:uiPriority w:val="65"/>
    <w:pPr>
      <w:spacing w:after="0" w:lineRule="auto" w:line="240"/>
    </w:pPr>
    <w:rPr>
      <w:color w:val="000000"/>
    </w:rPr>
    <w:tblPr>
      <w:tblStyleRowBandSize w:val="1"/>
      <w:tblStyleColBandSize w:val="1"/>
      <w:tblBorders>
        <w:top w:val="single" w:sz="8" w:space="0" w:color="9bbb59"/>
        <w:bottom w:val="single" w:sz="8" w:space="0" w:color="9bbb59"/>
      </w:tblBorders>
    </w:tblPr>
    <w:tblStylePr w:type="firstRow">
      <w:pPr/>
      <w:rPr>
        <w:rFonts w:ascii="Calibri" w:cs="Times New Roman" w:eastAsia="ＭＳ ゴシック" w:hAnsi="Calibri"/>
      </w:rPr>
      <w:tblPr/>
      <w:tcPr>
        <w:tcBorders>
          <w:top w:val="nil"/>
          <w:bottom w:val="single" w:sz="8" w:space="0" w:color="9bbb59"/>
        </w:tcBorders>
      </w:tcPr>
    </w:tblStylePr>
    <w:tblStylePr w:type="lastRow">
      <w:pPr/>
      <w:rPr>
        <w:b/>
        <w:bCs/>
        <w:color w:val="1f497d"/>
      </w:rPr>
      <w:tblPr/>
      <w:tcPr>
        <w:tcBorders>
          <w:top w:val="single" w:sz="8" w:space="0" w:color="9bbb59"/>
          <w:bottom w:val="single" w:sz="8" w:space="0" w:color="9bbb59"/>
        </w:tcBorders>
      </w:tcPr>
    </w:tblStylePr>
    <w:tblStylePr w:type="band1Horz">
      <w:pPr/>
      <w:tblPr/>
      <w:tcPr>
        <w:tcBorders/>
        <w:shd w:val="clear" w:color="auto" w:fill="e6eed5"/>
      </w:tcPr>
    </w:tblStylePr>
    <w:tblStylePr w:type="firstCol">
      <w:pPr/>
      <w:rPr>
        <w:b/>
        <w:bCs/>
      </w:rPr>
      <w:tcPr>
        <w:tcBorders/>
      </w:tcPr>
    </w:tblStylePr>
    <w:tblStylePr w:type="lastCol">
      <w:pPr/>
      <w:rPr>
        <w:b/>
        <w:bCs/>
      </w:rPr>
      <w:tblPr/>
      <w:tcPr>
        <w:tcBorders>
          <w:top w:val="single" w:sz="8" w:space="0" w:color="9bbb59"/>
          <w:bottom w:val="single" w:sz="8" w:space="0" w:color="9bbb59"/>
        </w:tcBorders>
      </w:tcPr>
    </w:tblStylePr>
    <w:tblStylePr w:type="band1Vert">
      <w:pPr/>
      <w:tblPr/>
      <w:tcPr>
        <w:tcBorders/>
        <w:shd w:val="clear" w:color="auto" w:fill="e6eed5"/>
      </w:tcPr>
    </w:tblStylePr>
    <w:tcPr>
      <w:tcBorders/>
    </w:tcPr>
  </w:style>
  <w:style w:type="table" w:styleId="style223">
    <w:name w:val="Medium List 1 Accent 4"/>
    <w:basedOn w:val="style105"/>
    <w:next w:val="style223"/>
    <w:uiPriority w:val="65"/>
    <w:pPr>
      <w:spacing w:after="0" w:lineRule="auto" w:line="240"/>
    </w:pPr>
    <w:rPr>
      <w:color w:val="000000"/>
    </w:rPr>
    <w:tblPr>
      <w:tblStyleRowBandSize w:val="1"/>
      <w:tblStyleColBandSize w:val="1"/>
      <w:tblBorders>
        <w:top w:val="single" w:sz="8" w:space="0" w:color="8064a2"/>
        <w:bottom w:val="single" w:sz="8" w:space="0" w:color="8064a2"/>
      </w:tblBorders>
    </w:tblPr>
    <w:tblStylePr w:type="firstRow">
      <w:pPr/>
      <w:rPr>
        <w:rFonts w:ascii="Calibri" w:cs="Times New Roman" w:eastAsia="ＭＳ ゴシック" w:hAnsi="Calibri"/>
      </w:rPr>
      <w:tblPr/>
      <w:tcPr>
        <w:tcBorders>
          <w:top w:val="nil"/>
          <w:bottom w:val="single" w:sz="8" w:space="0" w:color="8064a2"/>
        </w:tcBorders>
      </w:tcPr>
    </w:tblStylePr>
    <w:tblStylePr w:type="lastRow">
      <w:pPr/>
      <w:rPr>
        <w:b/>
        <w:bCs/>
        <w:color w:val="1f497d"/>
      </w:rPr>
      <w:tblPr/>
      <w:tcPr>
        <w:tcBorders>
          <w:top w:val="single" w:sz="8" w:space="0" w:color="8064a2"/>
          <w:bottom w:val="single" w:sz="8" w:space="0" w:color="8064a2"/>
        </w:tcBorders>
      </w:tcPr>
    </w:tblStylePr>
    <w:tblStylePr w:type="band1Horz">
      <w:pPr/>
      <w:tblPr/>
      <w:tcPr>
        <w:tcBorders/>
        <w:shd w:val="clear" w:color="auto" w:fill="dfd8e8"/>
      </w:tcPr>
    </w:tblStylePr>
    <w:tblStylePr w:type="firstCol">
      <w:pPr/>
      <w:rPr>
        <w:b/>
        <w:bCs/>
      </w:rPr>
      <w:tcPr>
        <w:tcBorders/>
      </w:tcPr>
    </w:tblStylePr>
    <w:tblStylePr w:type="lastCol">
      <w:pPr/>
      <w:rPr>
        <w:b/>
        <w:bCs/>
      </w:rPr>
      <w:tblPr/>
      <w:tcPr>
        <w:tcBorders>
          <w:top w:val="single" w:sz="8" w:space="0" w:color="8064a2"/>
          <w:bottom w:val="single" w:sz="8" w:space="0" w:color="8064a2"/>
        </w:tcBorders>
      </w:tcPr>
    </w:tblStylePr>
    <w:tblStylePr w:type="band1Vert">
      <w:pPr/>
      <w:tblPr/>
      <w:tcPr>
        <w:tcBorders/>
        <w:shd w:val="clear" w:color="auto" w:fill="dfd8e8"/>
      </w:tcPr>
    </w:tblStylePr>
    <w:tcPr>
      <w:tcBorders/>
    </w:tcPr>
  </w:style>
  <w:style w:type="table" w:styleId="style237">
    <w:name w:val="Medium List 1 Accent 5"/>
    <w:basedOn w:val="style105"/>
    <w:next w:val="style237"/>
    <w:uiPriority w:val="65"/>
    <w:pPr>
      <w:spacing w:after="0" w:lineRule="auto" w:line="240"/>
    </w:pPr>
    <w:rPr>
      <w:color w:val="000000"/>
    </w:rPr>
    <w:tblPr>
      <w:tblStyleRowBandSize w:val="1"/>
      <w:tblStyleColBandSize w:val="1"/>
      <w:tblBorders>
        <w:top w:val="single" w:sz="8" w:space="0" w:color="4bacc6"/>
        <w:bottom w:val="single" w:sz="8" w:space="0" w:color="4bacc6"/>
      </w:tblBorders>
    </w:tblPr>
    <w:tblStylePr w:type="firstRow">
      <w:pPr/>
      <w:rPr>
        <w:rFonts w:ascii="Calibri" w:cs="Times New Roman" w:eastAsia="ＭＳ ゴシック" w:hAnsi="Calibri"/>
      </w:rPr>
      <w:tblPr/>
      <w:tcPr>
        <w:tcBorders>
          <w:top w:val="nil"/>
          <w:bottom w:val="single" w:sz="8" w:space="0" w:color="4bacc6"/>
        </w:tcBorders>
      </w:tcPr>
    </w:tblStylePr>
    <w:tblStylePr w:type="lastRow">
      <w:pPr/>
      <w:rPr>
        <w:b/>
        <w:bCs/>
        <w:color w:val="1f497d"/>
      </w:rPr>
      <w:tblPr/>
      <w:tcPr>
        <w:tcBorders>
          <w:top w:val="single" w:sz="8" w:space="0" w:color="4bacc6"/>
          <w:bottom w:val="single" w:sz="8" w:space="0" w:color="4bacc6"/>
        </w:tcBorders>
      </w:tcPr>
    </w:tblStylePr>
    <w:tblStylePr w:type="band1Horz">
      <w:pPr/>
      <w:tblPr/>
      <w:tcPr>
        <w:tcBorders/>
        <w:shd w:val="clear" w:color="auto" w:fill="d2eaf1"/>
      </w:tcPr>
    </w:tblStylePr>
    <w:tblStylePr w:type="firstCol">
      <w:pPr/>
      <w:rPr>
        <w:b/>
        <w:bCs/>
      </w:rPr>
      <w:tcPr>
        <w:tcBorders/>
      </w:tcPr>
    </w:tblStylePr>
    <w:tblStylePr w:type="lastCol">
      <w:pPr/>
      <w:rPr>
        <w:b/>
        <w:bCs/>
      </w:rPr>
      <w:tblPr/>
      <w:tcPr>
        <w:tcBorders>
          <w:top w:val="single" w:sz="8" w:space="0" w:color="4bacc6"/>
          <w:bottom w:val="single" w:sz="8" w:space="0" w:color="4bacc6"/>
        </w:tcBorders>
      </w:tcPr>
    </w:tblStylePr>
    <w:tblStylePr w:type="band1Vert">
      <w:pPr/>
      <w:tblPr/>
      <w:tcPr>
        <w:tcBorders/>
        <w:shd w:val="clear" w:color="auto" w:fill="d2eaf1"/>
      </w:tcPr>
    </w:tblStylePr>
    <w:tcPr>
      <w:tcBorders/>
    </w:tcPr>
  </w:style>
  <w:style w:type="table" w:styleId="style251">
    <w:name w:val="Medium List 1 Accent 6"/>
    <w:basedOn w:val="style105"/>
    <w:next w:val="style251"/>
    <w:uiPriority w:val="65"/>
    <w:pPr>
      <w:spacing w:after="0" w:lineRule="auto" w:line="240"/>
    </w:pPr>
    <w:rPr>
      <w:color w:val="000000"/>
    </w:rPr>
    <w:tblPr>
      <w:tblStyleRowBandSize w:val="1"/>
      <w:tblStyleColBandSize w:val="1"/>
      <w:tblBorders>
        <w:top w:val="single" w:sz="8" w:space="0" w:color="f79646"/>
        <w:bottom w:val="single" w:sz="8" w:space="0" w:color="f79646"/>
      </w:tblBorders>
    </w:tblPr>
    <w:tblStylePr w:type="firstRow">
      <w:pPr/>
      <w:rPr>
        <w:rFonts w:ascii="Calibri" w:cs="Times New Roman" w:eastAsia="ＭＳ ゴシック" w:hAnsi="Calibri"/>
      </w:rPr>
      <w:tblPr/>
      <w:tcPr>
        <w:tcBorders>
          <w:top w:val="nil"/>
          <w:bottom w:val="single" w:sz="8" w:space="0" w:color="f79646"/>
        </w:tcBorders>
      </w:tcPr>
    </w:tblStylePr>
    <w:tblStylePr w:type="lastRow">
      <w:pPr/>
      <w:rPr>
        <w:b/>
        <w:bCs/>
        <w:color w:val="1f497d"/>
      </w:rPr>
      <w:tblPr/>
      <w:tcPr>
        <w:tcBorders>
          <w:top w:val="single" w:sz="8" w:space="0" w:color="f79646"/>
          <w:bottom w:val="single" w:sz="8" w:space="0" w:color="f79646"/>
        </w:tcBorders>
      </w:tcPr>
    </w:tblStylePr>
    <w:tblStylePr w:type="band1Horz">
      <w:pPr/>
      <w:tblPr/>
      <w:tcPr>
        <w:tcBorders/>
        <w:shd w:val="clear" w:color="auto" w:fill="fde4d0"/>
      </w:tcPr>
    </w:tblStylePr>
    <w:tblStylePr w:type="firstCol">
      <w:pPr/>
      <w:rPr>
        <w:b/>
        <w:bCs/>
      </w:rPr>
      <w:tcPr>
        <w:tcBorders/>
      </w:tcPr>
    </w:tblStylePr>
    <w:tblStylePr w:type="lastCol">
      <w:pPr/>
      <w:rPr>
        <w:b/>
        <w:bCs/>
      </w:rPr>
      <w:tblPr/>
      <w:tcPr>
        <w:tcBorders>
          <w:top w:val="single" w:sz="8" w:space="0" w:color="f79646"/>
          <w:bottom w:val="single" w:sz="8" w:space="0" w:color="f79646"/>
        </w:tcBorders>
      </w:tcPr>
    </w:tblStylePr>
    <w:tblStylePr w:type="band1Vert">
      <w:pPr/>
      <w:tblPr/>
      <w:tcPr>
        <w:tcBorders/>
        <w:shd w:val="clear" w:color="auto" w:fill="fde4d0"/>
      </w:tcPr>
    </w:tblStylePr>
    <w:tcPr>
      <w:tcBorders/>
    </w:tcPr>
  </w:style>
  <w:style w:type="table" w:styleId="style164">
    <w:name w:val="Medium List 2"/>
    <w:basedOn w:val="style105"/>
    <w:next w:val="style164"/>
    <w:uiPriority w:val="66"/>
    <w:pPr>
      <w:spacing w:after="0" w:lineRule="auto" w:line="240"/>
    </w:pPr>
    <w:rPr>
      <w:rFonts w:ascii="Calibri" w:cs="Times New Roman" w:eastAsia="ＭＳ ゴシック"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rPr>
        <w:sz w:val="24"/>
        <w:szCs w:val="24"/>
      </w:rPr>
      <w:tblPr/>
      <w:tcPr>
        <w:tcBorders>
          <w:top w:val="nil"/>
          <w:left w:val="nil"/>
          <w:bottom w:val="single" w:sz="24" w:space="0" w:color="000000"/>
          <w:right w:val="nil"/>
          <w:insideH w:val="nil"/>
          <w:insideV w:val="nil"/>
        </w:tcBorders>
        <w:shd w:val="clear" w:color="auto" w:fill="ffffff"/>
      </w:tcPr>
    </w:tblStylePr>
    <w:tblStylePr w:type="lastRow">
      <w:pPr/>
      <w:tblPr/>
      <w:tcPr>
        <w:tcBorders>
          <w:top w:val="single" w:sz="8" w:space="0" w:color="000000"/>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c0c0c0"/>
      </w:tcPr>
    </w:tblStylePr>
    <w:tblStylePr w:type="firstCol">
      <w:pPr/>
      <w:tblPr/>
      <w:tcPr>
        <w:tcBorders>
          <w:top w:val="nil"/>
          <w:left w:val="nil"/>
          <w:bottom w:val="nil"/>
          <w:right w:val="single" w:sz="8" w:space="0" w:color="000000"/>
          <w:insideH w:val="nil"/>
          <w:insideV w:val="nil"/>
        </w:tcBorders>
        <w:shd w:val="clear" w:color="auto" w:fill="ffffff"/>
      </w:tcPr>
    </w:tblStylePr>
    <w:tblStylePr w:type="lastCol">
      <w:pPr/>
      <w:tblPr/>
      <w:tcPr>
        <w:tcBorders>
          <w:top w:val="nil"/>
          <w:left w:val="single" w:sz="8" w:space="0" w:color="000000"/>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c0c0c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82">
    <w:name w:val="Medium List 2 Accent 1"/>
    <w:basedOn w:val="style105"/>
    <w:next w:val="style182"/>
    <w:uiPriority w:val="66"/>
    <w:pPr>
      <w:spacing w:after="0" w:lineRule="auto" w:line="240"/>
    </w:pPr>
    <w:rPr>
      <w:rFonts w:ascii="Calibri" w:cs="Times New Roman" w:eastAsia="ＭＳ ゴシック"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rPr>
        <w:sz w:val="24"/>
        <w:szCs w:val="24"/>
      </w:rPr>
      <w:tblPr/>
      <w:tcPr>
        <w:tcBorders>
          <w:top w:val="nil"/>
          <w:left w:val="nil"/>
          <w:bottom w:val="single" w:sz="24" w:space="0" w:color="4f81bd"/>
          <w:right w:val="nil"/>
          <w:insideH w:val="nil"/>
          <w:insideV w:val="nil"/>
        </w:tcBorders>
        <w:shd w:val="clear" w:color="auto" w:fill="ffffff"/>
      </w:tcPr>
    </w:tblStylePr>
    <w:tblStylePr w:type="lastRow">
      <w:pPr/>
      <w:tblPr/>
      <w:tcPr>
        <w:tcBorders>
          <w:top w:val="single" w:sz="8" w:space="0" w:color="4f81b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3dfee"/>
      </w:tcPr>
    </w:tblStylePr>
    <w:tblStylePr w:type="firstCol">
      <w:pPr/>
      <w:tblPr/>
      <w:tcPr>
        <w:tcBorders>
          <w:top w:val="nil"/>
          <w:left w:val="nil"/>
          <w:bottom w:val="nil"/>
          <w:right w:val="single" w:sz="8" w:space="0" w:color="4f81bd"/>
          <w:insideH w:val="nil"/>
          <w:insideV w:val="nil"/>
        </w:tcBorders>
        <w:shd w:val="clear" w:color="auto" w:fill="ffffff"/>
      </w:tcPr>
    </w:tblStylePr>
    <w:tblStylePr w:type="lastCol">
      <w:pPr/>
      <w:tblPr/>
      <w:tcPr>
        <w:tcBorders>
          <w:top w:val="nil"/>
          <w:left w:val="single" w:sz="8" w:space="0" w:color="4f81b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3dfee"/>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96">
    <w:name w:val="Medium List 2 Accent 2"/>
    <w:basedOn w:val="style105"/>
    <w:next w:val="style196"/>
    <w:uiPriority w:val="66"/>
    <w:pPr>
      <w:spacing w:after="0" w:lineRule="auto" w:line="240"/>
    </w:pPr>
    <w:rPr>
      <w:rFonts w:ascii="Calibri" w:cs="Times New Roman" w:eastAsia="ＭＳ ゴシック"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rPr>
        <w:sz w:val="24"/>
        <w:szCs w:val="24"/>
      </w:rPr>
      <w:tblPr/>
      <w:tcPr>
        <w:tcBorders>
          <w:top w:val="nil"/>
          <w:left w:val="nil"/>
          <w:bottom w:val="single" w:sz="24" w:space="0" w:color="c0504d"/>
          <w:right w:val="nil"/>
          <w:insideH w:val="nil"/>
          <w:insideV w:val="nil"/>
        </w:tcBorders>
        <w:shd w:val="clear" w:color="auto" w:fill="ffffff"/>
      </w:tcPr>
    </w:tblStylePr>
    <w:tblStylePr w:type="lastRow">
      <w:pPr/>
      <w:tblPr/>
      <w:tcPr>
        <w:tcBorders>
          <w:top w:val="single" w:sz="8" w:space="0" w:color="c0504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fd3d2"/>
      </w:tcPr>
    </w:tblStylePr>
    <w:tblStylePr w:type="firstCol">
      <w:pPr/>
      <w:tblPr/>
      <w:tcPr>
        <w:tcBorders>
          <w:top w:val="nil"/>
          <w:left w:val="nil"/>
          <w:bottom w:val="nil"/>
          <w:right w:val="single" w:sz="8" w:space="0" w:color="c0504d"/>
          <w:insideH w:val="nil"/>
          <w:insideV w:val="nil"/>
        </w:tcBorders>
        <w:shd w:val="clear" w:color="auto" w:fill="ffffff"/>
      </w:tcPr>
    </w:tblStylePr>
    <w:tblStylePr w:type="lastCol">
      <w:pPr/>
      <w:tblPr/>
      <w:tcPr>
        <w:tcBorders>
          <w:top w:val="nil"/>
          <w:left w:val="single" w:sz="8" w:space="0" w:color="c0504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fd3d2"/>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10">
    <w:name w:val="Medium List 2 Accent 3"/>
    <w:basedOn w:val="style105"/>
    <w:next w:val="style210"/>
    <w:uiPriority w:val="66"/>
    <w:pPr>
      <w:spacing w:after="0" w:lineRule="auto" w:line="240"/>
    </w:pPr>
    <w:rPr>
      <w:rFonts w:ascii="Calibri" w:cs="Times New Roman" w:eastAsia="ＭＳ ゴシック"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rPr>
        <w:sz w:val="24"/>
        <w:szCs w:val="24"/>
      </w:rPr>
      <w:tblPr/>
      <w:tcPr>
        <w:tcBorders>
          <w:top w:val="nil"/>
          <w:left w:val="nil"/>
          <w:bottom w:val="single" w:sz="24" w:space="0" w:color="9bbb59"/>
          <w:right w:val="nil"/>
          <w:insideH w:val="nil"/>
          <w:insideV w:val="nil"/>
        </w:tcBorders>
        <w:shd w:val="clear" w:color="auto" w:fill="ffffff"/>
      </w:tcPr>
    </w:tblStylePr>
    <w:tblStylePr w:type="lastRow">
      <w:pPr/>
      <w:tblPr/>
      <w:tcPr>
        <w:tcBorders>
          <w:top w:val="single" w:sz="8" w:space="0" w:color="9bbb59"/>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6eed5"/>
      </w:tcPr>
    </w:tblStylePr>
    <w:tblStylePr w:type="firstCol">
      <w:pPr/>
      <w:tblPr/>
      <w:tcPr>
        <w:tcBorders>
          <w:top w:val="nil"/>
          <w:left w:val="nil"/>
          <w:bottom w:val="nil"/>
          <w:right w:val="single" w:sz="8" w:space="0" w:color="9bbb59"/>
          <w:insideH w:val="nil"/>
          <w:insideV w:val="nil"/>
        </w:tcBorders>
        <w:shd w:val="clear" w:color="auto" w:fill="ffffff"/>
      </w:tcPr>
    </w:tblStylePr>
    <w:tblStylePr w:type="lastCol">
      <w:pPr/>
      <w:tblPr/>
      <w:tcPr>
        <w:tcBorders>
          <w:top w:val="nil"/>
          <w:left w:val="single" w:sz="8" w:space="0" w:color="9bbb59"/>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6eed5"/>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24">
    <w:name w:val="Medium List 2 Accent 4"/>
    <w:basedOn w:val="style105"/>
    <w:next w:val="style224"/>
    <w:uiPriority w:val="66"/>
    <w:pPr>
      <w:spacing w:after="0" w:lineRule="auto" w:line="240"/>
    </w:pPr>
    <w:rPr>
      <w:rFonts w:ascii="Calibri" w:cs="Times New Roman" w:eastAsia="ＭＳ ゴシック"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rPr>
        <w:sz w:val="24"/>
        <w:szCs w:val="24"/>
      </w:rPr>
      <w:tblPr/>
      <w:tcPr>
        <w:tcBorders>
          <w:top w:val="nil"/>
          <w:left w:val="nil"/>
          <w:bottom w:val="single" w:sz="24" w:space="0" w:color="8064a2"/>
          <w:right w:val="nil"/>
          <w:insideH w:val="nil"/>
          <w:insideV w:val="nil"/>
        </w:tcBorders>
        <w:shd w:val="clear" w:color="auto" w:fill="ffffff"/>
      </w:tcPr>
    </w:tblStylePr>
    <w:tblStylePr w:type="lastRow">
      <w:pPr/>
      <w:tblPr/>
      <w:tcPr>
        <w:tcBorders>
          <w:top w:val="single" w:sz="8" w:space="0" w:color="8064a2"/>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fd8e8"/>
      </w:tcPr>
    </w:tblStylePr>
    <w:tblStylePr w:type="firstCol">
      <w:pPr/>
      <w:tblPr/>
      <w:tcPr>
        <w:tcBorders>
          <w:top w:val="nil"/>
          <w:left w:val="nil"/>
          <w:bottom w:val="nil"/>
          <w:right w:val="single" w:sz="8" w:space="0" w:color="8064a2"/>
          <w:insideH w:val="nil"/>
          <w:insideV w:val="nil"/>
        </w:tcBorders>
        <w:shd w:val="clear" w:color="auto" w:fill="ffffff"/>
      </w:tcPr>
    </w:tblStylePr>
    <w:tblStylePr w:type="lastCol">
      <w:pPr/>
      <w:tblPr/>
      <w:tcPr>
        <w:tcBorders>
          <w:top w:val="nil"/>
          <w:left w:val="single" w:sz="8" w:space="0" w:color="8064a2"/>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fd8e8"/>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38">
    <w:name w:val="Medium List 2 Accent 5"/>
    <w:basedOn w:val="style105"/>
    <w:next w:val="style238"/>
    <w:uiPriority w:val="66"/>
    <w:pPr>
      <w:spacing w:after="0" w:lineRule="auto" w:line="240"/>
    </w:pPr>
    <w:rPr>
      <w:rFonts w:ascii="Calibri" w:cs="Times New Roman" w:eastAsia="ＭＳ ゴシック"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rPr>
        <w:sz w:val="24"/>
        <w:szCs w:val="24"/>
      </w:rPr>
      <w:tblPr/>
      <w:tcPr>
        <w:tcBorders>
          <w:top w:val="nil"/>
          <w:left w:val="nil"/>
          <w:bottom w:val="single" w:sz="24" w:space="0" w:color="4bacc6"/>
          <w:right w:val="nil"/>
          <w:insideH w:val="nil"/>
          <w:insideV w:val="nil"/>
        </w:tcBorders>
        <w:shd w:val="clear" w:color="auto" w:fill="ffffff"/>
      </w:tcPr>
    </w:tblStylePr>
    <w:tblStylePr w:type="lastRow">
      <w:pPr/>
      <w:tblPr/>
      <w:tcPr>
        <w:tcBorders>
          <w:top w:val="single" w:sz="8" w:space="0" w:color="4bacc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2eaf1"/>
      </w:tcPr>
    </w:tblStylePr>
    <w:tblStylePr w:type="firstCol">
      <w:pPr/>
      <w:tblPr/>
      <w:tcPr>
        <w:tcBorders>
          <w:top w:val="nil"/>
          <w:left w:val="nil"/>
          <w:bottom w:val="nil"/>
          <w:right w:val="single" w:sz="8" w:space="0" w:color="4bacc6"/>
          <w:insideH w:val="nil"/>
          <w:insideV w:val="nil"/>
        </w:tcBorders>
        <w:shd w:val="clear" w:color="auto" w:fill="ffffff"/>
      </w:tcPr>
    </w:tblStylePr>
    <w:tblStylePr w:type="lastCol">
      <w:pPr/>
      <w:tblPr/>
      <w:tcPr>
        <w:tcBorders>
          <w:top w:val="nil"/>
          <w:left w:val="single" w:sz="8" w:space="0" w:color="4bacc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2eaf1"/>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52">
    <w:name w:val="Medium List 2 Accent 6"/>
    <w:basedOn w:val="style105"/>
    <w:next w:val="style252"/>
    <w:uiPriority w:val="66"/>
    <w:pPr>
      <w:spacing w:after="0" w:lineRule="auto" w:line="240"/>
    </w:pPr>
    <w:rPr>
      <w:rFonts w:ascii="Calibri" w:cs="Times New Roman" w:eastAsia="ＭＳ ゴシック"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rPr>
        <w:sz w:val="24"/>
        <w:szCs w:val="24"/>
      </w:rPr>
      <w:tblPr/>
      <w:tcPr>
        <w:tcBorders>
          <w:top w:val="nil"/>
          <w:left w:val="nil"/>
          <w:bottom w:val="single" w:sz="24" w:space="0" w:color="f79646"/>
          <w:right w:val="nil"/>
          <w:insideH w:val="nil"/>
          <w:insideV w:val="nil"/>
        </w:tcBorders>
        <w:shd w:val="clear" w:color="auto" w:fill="ffffff"/>
      </w:tcPr>
    </w:tblStylePr>
    <w:tblStylePr w:type="lastRow">
      <w:pPr/>
      <w:tblPr/>
      <w:tcPr>
        <w:tcBorders>
          <w:top w:val="single" w:sz="8" w:space="0" w:color="f7964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fde4d0"/>
      </w:tcPr>
    </w:tblStylePr>
    <w:tblStylePr w:type="firstCol">
      <w:pPr/>
      <w:tblPr/>
      <w:tcPr>
        <w:tcBorders>
          <w:top w:val="nil"/>
          <w:left w:val="nil"/>
          <w:bottom w:val="nil"/>
          <w:right w:val="single" w:sz="8" w:space="0" w:color="f79646"/>
          <w:insideH w:val="nil"/>
          <w:insideV w:val="nil"/>
        </w:tcBorders>
        <w:shd w:val="clear" w:color="auto" w:fill="ffffff"/>
      </w:tcPr>
    </w:tblStylePr>
    <w:tblStylePr w:type="lastCol">
      <w:pPr/>
      <w:tblPr/>
      <w:tcPr>
        <w:tcBorders>
          <w:top w:val="nil"/>
          <w:left w:val="single" w:sz="8" w:space="0" w:color="f7964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fde4d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65">
    <w:name w:val="Medium Grid 1"/>
    <w:basedOn w:val="style105"/>
    <w:next w:val="style165"/>
    <w:uiPriority w:val="67"/>
    <w:pPr>
      <w:spacing w:after="0" w:lineRule="auto" w:line="240"/>
    </w:pP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blStylePr w:type="firstRow">
      <w:pPr/>
      <w:rPr>
        <w:b/>
        <w:bCs/>
      </w:rPr>
      <w:tcPr>
        <w:tcBorders/>
      </w:tcPr>
    </w:tblStylePr>
    <w:tblStylePr w:type="lastRow">
      <w:pPr/>
      <w:rPr>
        <w:b/>
        <w:bCs/>
      </w:rPr>
      <w:tblPr/>
      <w:tcPr>
        <w:tcBorders>
          <w:top w:val="single" w:sz="18" w:space="0" w:color="404040"/>
        </w:tcBorders>
      </w:tcPr>
    </w:tblStylePr>
    <w:tblStylePr w:type="band1Horz">
      <w:pPr/>
      <w:tblPr/>
      <w:tcPr>
        <w:tcBorders/>
        <w:shd w:val="clear" w:color="auto" w:fill="808080"/>
      </w:tcPr>
    </w:tblStylePr>
    <w:tblStylePr w:type="firstCol">
      <w:pPr/>
      <w:rPr>
        <w:b/>
        <w:bCs/>
      </w:rPr>
      <w:tcPr>
        <w:tcBorders/>
      </w:tcPr>
    </w:tblStylePr>
    <w:tblStylePr w:type="lastCol">
      <w:pPr/>
      <w:rPr>
        <w:b/>
        <w:bCs/>
      </w:rPr>
      <w:tcPr>
        <w:tcBorders/>
      </w:tcPr>
    </w:tblStylePr>
    <w:tblStylePr w:type="band1Vert">
      <w:pPr/>
      <w:tblPr/>
      <w:tcPr>
        <w:tcBorders/>
        <w:shd w:val="clear" w:color="auto" w:fill="808080"/>
      </w:tcPr>
    </w:tblStylePr>
    <w:tcPr>
      <w:tcBorders/>
      <w:shd w:val="clear" w:color="auto" w:fill="c0c0c0"/>
    </w:tcPr>
  </w:style>
  <w:style w:type="table" w:styleId="style183">
    <w:name w:val="Medium Grid 1 Accent 1"/>
    <w:basedOn w:val="style105"/>
    <w:next w:val="style183"/>
    <w:uiPriority w:val="67"/>
    <w:pPr>
      <w:spacing w:after="0" w:lineRule="auto" w:line="240"/>
    </w:pP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blStylePr w:type="firstRow">
      <w:pPr/>
      <w:rPr>
        <w:b/>
        <w:bCs/>
      </w:rPr>
      <w:tcPr>
        <w:tcBorders/>
      </w:tcPr>
    </w:tblStylePr>
    <w:tblStylePr w:type="lastRow">
      <w:pPr/>
      <w:rPr>
        <w:b/>
        <w:bCs/>
      </w:rPr>
      <w:tblPr/>
      <w:tcPr>
        <w:tcBorders>
          <w:top w:val="single" w:sz="18" w:space="0" w:color="7ba0cd"/>
        </w:tcBorders>
      </w:tcPr>
    </w:tblStylePr>
    <w:tblStylePr w:type="band1Horz">
      <w:pPr/>
      <w:tblPr/>
      <w:tcPr>
        <w:tcBorders/>
        <w:shd w:val="clear" w:color="auto" w:fill="a7bfde"/>
      </w:tcPr>
    </w:tblStylePr>
    <w:tblStylePr w:type="firstCol">
      <w:pPr/>
      <w:rPr>
        <w:b/>
        <w:bCs/>
      </w:rPr>
      <w:tcPr>
        <w:tcBorders/>
      </w:tcPr>
    </w:tblStylePr>
    <w:tblStylePr w:type="lastCol">
      <w:pPr/>
      <w:rPr>
        <w:b/>
        <w:bCs/>
      </w:rPr>
      <w:tcPr>
        <w:tcBorders/>
      </w:tcPr>
    </w:tblStylePr>
    <w:tblStylePr w:type="band1Vert">
      <w:pPr/>
      <w:tblPr/>
      <w:tcPr>
        <w:tcBorders/>
        <w:shd w:val="clear" w:color="auto" w:fill="a7bfde"/>
      </w:tcPr>
    </w:tblStylePr>
    <w:tcPr>
      <w:tcBorders/>
      <w:shd w:val="clear" w:color="auto" w:fill="d3dfee"/>
    </w:tcPr>
  </w:style>
  <w:style w:type="table" w:styleId="style197">
    <w:name w:val="Medium Grid 1 Accent 2"/>
    <w:basedOn w:val="style105"/>
    <w:next w:val="style197"/>
    <w:uiPriority w:val="67"/>
    <w:pPr>
      <w:spacing w:after="0" w:lineRule="auto" w:line="240"/>
    </w:pP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blStylePr w:type="firstRow">
      <w:pPr/>
      <w:rPr>
        <w:b/>
        <w:bCs/>
      </w:rPr>
      <w:tcPr>
        <w:tcBorders/>
      </w:tcPr>
    </w:tblStylePr>
    <w:tblStylePr w:type="lastRow">
      <w:pPr/>
      <w:rPr>
        <w:b/>
        <w:bCs/>
      </w:rPr>
      <w:tblPr/>
      <w:tcPr>
        <w:tcBorders>
          <w:top w:val="single" w:sz="18" w:space="0" w:color="cf7b79"/>
        </w:tcBorders>
      </w:tcPr>
    </w:tblStylePr>
    <w:tblStylePr w:type="band1Horz">
      <w:pPr/>
      <w:tblPr/>
      <w:tcPr>
        <w:tcBorders/>
        <w:shd w:val="clear" w:color="auto" w:fill="dfa7a6"/>
      </w:tcPr>
    </w:tblStylePr>
    <w:tblStylePr w:type="firstCol">
      <w:pPr/>
      <w:rPr>
        <w:b/>
        <w:bCs/>
      </w:rPr>
      <w:tcPr>
        <w:tcBorders/>
      </w:tcPr>
    </w:tblStylePr>
    <w:tblStylePr w:type="lastCol">
      <w:pPr/>
      <w:rPr>
        <w:b/>
        <w:bCs/>
      </w:rPr>
      <w:tcPr>
        <w:tcBorders/>
      </w:tcPr>
    </w:tblStylePr>
    <w:tblStylePr w:type="band1Vert">
      <w:pPr/>
      <w:tblPr/>
      <w:tcPr>
        <w:tcBorders/>
        <w:shd w:val="clear" w:color="auto" w:fill="dfa7a6"/>
      </w:tcPr>
    </w:tblStylePr>
    <w:tcPr>
      <w:tcBorders/>
      <w:shd w:val="clear" w:color="auto" w:fill="efd3d2"/>
    </w:tcPr>
  </w:style>
  <w:style w:type="table" w:styleId="style211">
    <w:name w:val="Medium Grid 1 Accent 3"/>
    <w:basedOn w:val="style105"/>
    <w:next w:val="style211"/>
    <w:uiPriority w:val="67"/>
    <w:pPr>
      <w:spacing w:after="0" w:lineRule="auto" w:line="240"/>
    </w:pP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blStylePr w:type="firstRow">
      <w:pPr/>
      <w:rPr>
        <w:b/>
        <w:bCs/>
      </w:rPr>
      <w:tcPr>
        <w:tcBorders/>
      </w:tcPr>
    </w:tblStylePr>
    <w:tblStylePr w:type="lastRow">
      <w:pPr/>
      <w:rPr>
        <w:b/>
        <w:bCs/>
      </w:rPr>
      <w:tblPr/>
      <w:tcPr>
        <w:tcBorders>
          <w:top w:val="single" w:sz="18" w:space="0" w:color="b3cc82"/>
        </w:tcBorders>
      </w:tcPr>
    </w:tblStylePr>
    <w:tblStylePr w:type="band1Horz">
      <w:pPr/>
      <w:tblPr/>
      <w:tcPr>
        <w:tcBorders/>
        <w:shd w:val="clear" w:color="auto" w:fill="cdddac"/>
      </w:tcPr>
    </w:tblStylePr>
    <w:tblStylePr w:type="firstCol">
      <w:pPr/>
      <w:rPr>
        <w:b/>
        <w:bCs/>
      </w:rPr>
      <w:tcPr>
        <w:tcBorders/>
      </w:tcPr>
    </w:tblStylePr>
    <w:tblStylePr w:type="lastCol">
      <w:pPr/>
      <w:rPr>
        <w:b/>
        <w:bCs/>
      </w:rPr>
      <w:tcPr>
        <w:tcBorders/>
      </w:tcPr>
    </w:tblStylePr>
    <w:tblStylePr w:type="band1Vert">
      <w:pPr/>
      <w:tblPr/>
      <w:tcPr>
        <w:tcBorders/>
        <w:shd w:val="clear" w:color="auto" w:fill="cdddac"/>
      </w:tcPr>
    </w:tblStylePr>
    <w:tcPr>
      <w:tcBorders/>
      <w:shd w:val="clear" w:color="auto" w:fill="e6eed5"/>
    </w:tcPr>
  </w:style>
  <w:style w:type="table" w:styleId="style225">
    <w:name w:val="Medium Grid 1 Accent 4"/>
    <w:basedOn w:val="style105"/>
    <w:next w:val="style225"/>
    <w:uiPriority w:val="67"/>
    <w:pPr>
      <w:spacing w:after="0" w:lineRule="auto" w:line="240"/>
    </w:pP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blStylePr w:type="firstRow">
      <w:pPr/>
      <w:rPr>
        <w:b/>
        <w:bCs/>
      </w:rPr>
      <w:tcPr>
        <w:tcBorders/>
      </w:tcPr>
    </w:tblStylePr>
    <w:tblStylePr w:type="lastRow">
      <w:pPr/>
      <w:rPr>
        <w:b/>
        <w:bCs/>
      </w:rPr>
      <w:tblPr/>
      <w:tcPr>
        <w:tcBorders>
          <w:top w:val="single" w:sz="18" w:space="0" w:color="9f8ab9"/>
        </w:tcBorders>
      </w:tcPr>
    </w:tblStylePr>
    <w:tblStylePr w:type="band1Horz">
      <w:pPr/>
      <w:tblPr/>
      <w:tcPr>
        <w:tcBorders/>
        <w:shd w:val="clear" w:color="auto" w:fill="bfb1d0"/>
      </w:tcPr>
    </w:tblStylePr>
    <w:tblStylePr w:type="firstCol">
      <w:pPr/>
      <w:rPr>
        <w:b/>
        <w:bCs/>
      </w:rPr>
      <w:tcPr>
        <w:tcBorders/>
      </w:tcPr>
    </w:tblStylePr>
    <w:tblStylePr w:type="lastCol">
      <w:pPr/>
      <w:rPr>
        <w:b/>
        <w:bCs/>
      </w:rPr>
      <w:tcPr>
        <w:tcBorders/>
      </w:tcPr>
    </w:tblStylePr>
    <w:tblStylePr w:type="band1Vert">
      <w:pPr/>
      <w:tblPr/>
      <w:tcPr>
        <w:tcBorders/>
        <w:shd w:val="clear" w:color="auto" w:fill="bfb1d0"/>
      </w:tcPr>
    </w:tblStylePr>
    <w:tcPr>
      <w:tcBorders/>
      <w:shd w:val="clear" w:color="auto" w:fill="dfd8e8"/>
    </w:tcPr>
  </w:style>
  <w:style w:type="table" w:styleId="style239">
    <w:name w:val="Medium Grid 1 Accent 5"/>
    <w:basedOn w:val="style105"/>
    <w:next w:val="style239"/>
    <w:uiPriority w:val="67"/>
    <w:pPr>
      <w:spacing w:after="0" w:lineRule="auto" w:line="240"/>
    </w:pP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blStylePr w:type="firstRow">
      <w:pPr/>
      <w:rPr>
        <w:b/>
        <w:bCs/>
      </w:rPr>
      <w:tcPr>
        <w:tcBorders/>
      </w:tcPr>
    </w:tblStylePr>
    <w:tblStylePr w:type="lastRow">
      <w:pPr/>
      <w:rPr>
        <w:b/>
        <w:bCs/>
      </w:rPr>
      <w:tblPr/>
      <w:tcPr>
        <w:tcBorders>
          <w:top w:val="single" w:sz="18" w:space="0" w:color="78c0d4"/>
        </w:tcBorders>
      </w:tcPr>
    </w:tblStylePr>
    <w:tblStylePr w:type="band1Horz">
      <w:pPr/>
      <w:tblPr/>
      <w:tcPr>
        <w:tcBorders/>
        <w:shd w:val="clear" w:color="auto" w:fill="a5d5e2"/>
      </w:tcPr>
    </w:tblStylePr>
    <w:tblStylePr w:type="firstCol">
      <w:pPr/>
      <w:rPr>
        <w:b/>
        <w:bCs/>
      </w:rPr>
      <w:tcPr>
        <w:tcBorders/>
      </w:tcPr>
    </w:tblStylePr>
    <w:tblStylePr w:type="lastCol">
      <w:pPr/>
      <w:rPr>
        <w:b/>
        <w:bCs/>
      </w:rPr>
      <w:tcPr>
        <w:tcBorders/>
      </w:tcPr>
    </w:tblStylePr>
    <w:tblStylePr w:type="band1Vert">
      <w:pPr/>
      <w:tblPr/>
      <w:tcPr>
        <w:tcBorders/>
        <w:shd w:val="clear" w:color="auto" w:fill="a5d5e2"/>
      </w:tcPr>
    </w:tblStylePr>
    <w:tcPr>
      <w:tcBorders/>
      <w:shd w:val="clear" w:color="auto" w:fill="d2eaf1"/>
    </w:tcPr>
  </w:style>
  <w:style w:type="table" w:styleId="style253">
    <w:name w:val="Medium Grid 1 Accent 6"/>
    <w:basedOn w:val="style105"/>
    <w:next w:val="style253"/>
    <w:uiPriority w:val="67"/>
    <w:pPr>
      <w:spacing w:after="0" w:lineRule="auto" w:line="240"/>
    </w:pP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blStylePr w:type="firstRow">
      <w:pPr/>
      <w:rPr>
        <w:b/>
        <w:bCs/>
      </w:rPr>
      <w:tcPr>
        <w:tcBorders/>
      </w:tcPr>
    </w:tblStylePr>
    <w:tblStylePr w:type="lastRow">
      <w:pPr/>
      <w:rPr>
        <w:b/>
        <w:bCs/>
      </w:rPr>
      <w:tblPr/>
      <w:tcPr>
        <w:tcBorders>
          <w:top w:val="single" w:sz="18" w:space="0" w:color="f9b074"/>
        </w:tcBorders>
      </w:tcPr>
    </w:tblStylePr>
    <w:tblStylePr w:type="band1Horz">
      <w:pPr/>
      <w:tblPr/>
      <w:tcPr>
        <w:tcBorders/>
        <w:shd w:val="clear" w:color="auto" w:fill="fbcaa2"/>
      </w:tcPr>
    </w:tblStylePr>
    <w:tblStylePr w:type="firstCol">
      <w:pPr/>
      <w:rPr>
        <w:b/>
        <w:bCs/>
      </w:rPr>
      <w:tcPr>
        <w:tcBorders/>
      </w:tcPr>
    </w:tblStylePr>
    <w:tblStylePr w:type="lastCol">
      <w:pPr/>
      <w:rPr>
        <w:b/>
        <w:bCs/>
      </w:rPr>
      <w:tcPr>
        <w:tcBorders/>
      </w:tcPr>
    </w:tblStylePr>
    <w:tblStylePr w:type="band1Vert">
      <w:pPr/>
      <w:tblPr/>
      <w:tcPr>
        <w:tcBorders/>
        <w:shd w:val="clear" w:color="auto" w:fill="fbcaa2"/>
      </w:tcPr>
    </w:tblStylePr>
    <w:tcPr>
      <w:tcBorders/>
      <w:shd w:val="clear" w:color="auto" w:fill="fde4d0"/>
    </w:tcPr>
  </w:style>
  <w:style w:type="table" w:styleId="style166">
    <w:name w:val="Medium Grid 2"/>
    <w:basedOn w:val="style105"/>
    <w:next w:val="style166"/>
    <w:uiPriority w:val="68"/>
    <w:pPr>
      <w:spacing w:after="0" w:lineRule="auto" w:line="240"/>
    </w:pPr>
    <w:rPr>
      <w:rFonts w:ascii="Calibri" w:cs="Times New Roman" w:eastAsia="ＭＳ ゴシック"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blStylePr w:type="firstRow">
      <w:pPr/>
      <w:rPr>
        <w:b/>
        <w:bCs/>
        <w:color w:val="000000"/>
      </w:rPr>
      <w:tblPr/>
      <w:tcPr>
        <w:tcBorders/>
        <w:shd w:val="clear" w:color="auto" w:fill="e6e6e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000000"/>
          <w:insideV w:val="single" w:sz="6" w:space="0" w:color="000000"/>
        </w:tcBorders>
        <w:shd w:val="clear" w:color="auto" w:fill="80808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cccccc"/>
      </w:tcPr>
    </w:tblStylePr>
    <w:tblStylePr w:type="band1Vert">
      <w:pPr/>
      <w:tblPr/>
      <w:tcPr>
        <w:tcBorders/>
        <w:shd w:val="clear" w:color="auto" w:fill="808080"/>
      </w:tcPr>
    </w:tblStylePr>
    <w:tblStylePr w:type="nwCell">
      <w:pPr/>
      <w:tblPr/>
      <w:tcPr>
        <w:tcBorders/>
        <w:shd w:val="clear" w:color="auto" w:fill="ffffff"/>
      </w:tcPr>
    </w:tblStylePr>
    <w:tcPr>
      <w:tcBorders/>
      <w:shd w:val="clear" w:color="auto" w:fill="c0c0c0"/>
    </w:tcPr>
  </w:style>
  <w:style w:type="table" w:styleId="style184">
    <w:name w:val="Medium Grid 2 Accent 1"/>
    <w:basedOn w:val="style105"/>
    <w:next w:val="style184"/>
    <w:uiPriority w:val="68"/>
    <w:pPr>
      <w:spacing w:after="0" w:lineRule="auto" w:line="240"/>
    </w:pPr>
    <w:rPr>
      <w:rFonts w:ascii="Calibri" w:cs="Times New Roman" w:eastAsia="ＭＳ ゴシック"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blStylePr w:type="firstRow">
      <w:pPr/>
      <w:rPr>
        <w:b/>
        <w:bCs/>
        <w:color w:val="000000"/>
      </w:rPr>
      <w:tblPr/>
      <w:tcPr>
        <w:tcBorders/>
        <w:shd w:val="clear" w:color="auto" w:fill="edf2f8"/>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f81bd"/>
          <w:insideV w:val="single" w:sz="6" w:space="0" w:color="4f81bd"/>
        </w:tcBorders>
        <w:shd w:val="clear" w:color="auto" w:fill="a7bfde"/>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be5f1"/>
      </w:tcPr>
    </w:tblStylePr>
    <w:tblStylePr w:type="band1Vert">
      <w:pPr/>
      <w:tblPr/>
      <w:tcPr>
        <w:tcBorders/>
        <w:shd w:val="clear" w:color="auto" w:fill="a7bfde"/>
      </w:tcPr>
    </w:tblStylePr>
    <w:tblStylePr w:type="nwCell">
      <w:pPr/>
      <w:tblPr/>
      <w:tcPr>
        <w:tcBorders/>
        <w:shd w:val="clear" w:color="auto" w:fill="ffffff"/>
      </w:tcPr>
    </w:tblStylePr>
    <w:tcPr>
      <w:tcBorders/>
      <w:shd w:val="clear" w:color="auto" w:fill="d3dfee"/>
    </w:tcPr>
  </w:style>
  <w:style w:type="table" w:styleId="style198">
    <w:name w:val="Medium Grid 2 Accent 2"/>
    <w:basedOn w:val="style105"/>
    <w:next w:val="style198"/>
    <w:uiPriority w:val="68"/>
    <w:pPr>
      <w:spacing w:after="0" w:lineRule="auto" w:line="240"/>
    </w:pPr>
    <w:rPr>
      <w:rFonts w:ascii="Calibri" w:cs="Times New Roman" w:eastAsia="ＭＳ ゴシック"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blStylePr w:type="firstRow">
      <w:pPr/>
      <w:rPr>
        <w:b/>
        <w:bCs/>
        <w:color w:val="000000"/>
      </w:rPr>
      <w:tblPr/>
      <w:tcPr>
        <w:tcBorders/>
        <w:shd w:val="clear" w:color="auto" w:fill="f8eded"/>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c0504d"/>
          <w:insideV w:val="single" w:sz="6" w:space="0" w:color="c0504d"/>
        </w:tcBorders>
        <w:shd w:val="clear" w:color="auto" w:fill="dfa7a6"/>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2dbdb"/>
      </w:tcPr>
    </w:tblStylePr>
    <w:tblStylePr w:type="band1Vert">
      <w:pPr/>
      <w:tblPr/>
      <w:tcPr>
        <w:tcBorders/>
        <w:shd w:val="clear" w:color="auto" w:fill="dfa7a6"/>
      </w:tcPr>
    </w:tblStylePr>
    <w:tblStylePr w:type="nwCell">
      <w:pPr/>
      <w:tblPr/>
      <w:tcPr>
        <w:tcBorders/>
        <w:shd w:val="clear" w:color="auto" w:fill="ffffff"/>
      </w:tcPr>
    </w:tblStylePr>
    <w:tcPr>
      <w:tcBorders/>
      <w:shd w:val="clear" w:color="auto" w:fill="efd3d2"/>
    </w:tcPr>
  </w:style>
  <w:style w:type="table" w:styleId="style212">
    <w:name w:val="Medium Grid 2 Accent 3"/>
    <w:basedOn w:val="style105"/>
    <w:next w:val="style212"/>
    <w:uiPriority w:val="68"/>
    <w:pPr>
      <w:spacing w:after="0" w:lineRule="auto" w:line="240"/>
    </w:pPr>
    <w:rPr>
      <w:rFonts w:ascii="Calibri" w:cs="Times New Roman" w:eastAsia="ＭＳ ゴシック"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blStylePr w:type="firstRow">
      <w:pPr/>
      <w:rPr>
        <w:b/>
        <w:bCs/>
        <w:color w:val="000000"/>
      </w:rPr>
      <w:tblPr/>
      <w:tcPr>
        <w:tcBorders/>
        <w:shd w:val="clear" w:color="auto" w:fill="f5f8ee"/>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9bbb59"/>
          <w:insideV w:val="single" w:sz="6" w:space="0" w:color="9bbb59"/>
        </w:tcBorders>
        <w:shd w:val="clear" w:color="auto" w:fill="cdddac"/>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af1dd"/>
      </w:tcPr>
    </w:tblStylePr>
    <w:tblStylePr w:type="band1Vert">
      <w:pPr/>
      <w:tblPr/>
      <w:tcPr>
        <w:tcBorders/>
        <w:shd w:val="clear" w:color="auto" w:fill="cdddac"/>
      </w:tcPr>
    </w:tblStylePr>
    <w:tblStylePr w:type="nwCell">
      <w:pPr/>
      <w:tblPr/>
      <w:tcPr>
        <w:tcBorders/>
        <w:shd w:val="clear" w:color="auto" w:fill="ffffff"/>
      </w:tcPr>
    </w:tblStylePr>
    <w:tcPr>
      <w:tcBorders/>
      <w:shd w:val="clear" w:color="auto" w:fill="e6eed5"/>
    </w:tcPr>
  </w:style>
  <w:style w:type="table" w:styleId="style226">
    <w:name w:val="Medium Grid 2 Accent 4"/>
    <w:basedOn w:val="style105"/>
    <w:next w:val="style226"/>
    <w:uiPriority w:val="68"/>
    <w:pPr>
      <w:spacing w:after="0" w:lineRule="auto" w:line="240"/>
    </w:pPr>
    <w:rPr>
      <w:rFonts w:ascii="Calibri" w:cs="Times New Roman" w:eastAsia="ＭＳ ゴシック"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blStylePr w:type="firstRow">
      <w:pPr/>
      <w:rPr>
        <w:b/>
        <w:bCs/>
        <w:color w:val="000000"/>
      </w:rPr>
      <w:tblPr/>
      <w:tcPr>
        <w:tcBorders/>
        <w:shd w:val="clear" w:color="auto" w:fill="f2eff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8064a2"/>
          <w:insideV w:val="single" w:sz="6" w:space="0" w:color="8064a2"/>
        </w:tcBorders>
        <w:shd w:val="clear" w:color="auto" w:fill="bfb1d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5dfec"/>
      </w:tcPr>
    </w:tblStylePr>
    <w:tblStylePr w:type="band1Vert">
      <w:pPr/>
      <w:tblPr/>
      <w:tcPr>
        <w:tcBorders/>
        <w:shd w:val="clear" w:color="auto" w:fill="bfb1d0"/>
      </w:tcPr>
    </w:tblStylePr>
    <w:tblStylePr w:type="nwCell">
      <w:pPr/>
      <w:tblPr/>
      <w:tcPr>
        <w:tcBorders/>
        <w:shd w:val="clear" w:color="auto" w:fill="ffffff"/>
      </w:tcPr>
    </w:tblStylePr>
    <w:tcPr>
      <w:tcBorders/>
      <w:shd w:val="clear" w:color="auto" w:fill="dfd8e8"/>
    </w:tcPr>
  </w:style>
  <w:style w:type="table" w:styleId="style240">
    <w:name w:val="Medium Grid 2 Accent 5"/>
    <w:basedOn w:val="style105"/>
    <w:next w:val="style240"/>
    <w:uiPriority w:val="68"/>
    <w:pPr>
      <w:spacing w:after="0" w:lineRule="auto" w:line="240"/>
    </w:pPr>
    <w:rPr>
      <w:rFonts w:ascii="Calibri" w:cs="Times New Roman" w:eastAsia="ＭＳ ゴシック"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blStylePr w:type="firstRow">
      <w:pPr/>
      <w:rPr>
        <w:b/>
        <w:bCs/>
        <w:color w:val="000000"/>
      </w:rPr>
      <w:tblPr/>
      <w:tcPr>
        <w:tcBorders/>
        <w:shd w:val="clear" w:color="auto" w:fill="edf6f9"/>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bacc6"/>
          <w:insideV w:val="single" w:sz="6" w:space="0" w:color="4bacc6"/>
        </w:tcBorders>
        <w:shd w:val="clear" w:color="auto" w:fill="a5d5e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aeef3"/>
      </w:tcPr>
    </w:tblStylePr>
    <w:tblStylePr w:type="band1Vert">
      <w:pPr/>
      <w:tblPr/>
      <w:tcPr>
        <w:tcBorders/>
        <w:shd w:val="clear" w:color="auto" w:fill="a5d5e2"/>
      </w:tcPr>
    </w:tblStylePr>
    <w:tblStylePr w:type="nwCell">
      <w:pPr/>
      <w:tblPr/>
      <w:tcPr>
        <w:tcBorders/>
        <w:shd w:val="clear" w:color="auto" w:fill="ffffff"/>
      </w:tcPr>
    </w:tblStylePr>
    <w:tcPr>
      <w:tcBorders/>
      <w:shd w:val="clear" w:color="auto" w:fill="d2eaf1"/>
    </w:tcPr>
  </w:style>
  <w:style w:type="table" w:styleId="style254">
    <w:name w:val="Medium Grid 2 Accent 6"/>
    <w:basedOn w:val="style105"/>
    <w:next w:val="style254"/>
    <w:uiPriority w:val="68"/>
    <w:pPr>
      <w:spacing w:after="0" w:lineRule="auto" w:line="240"/>
    </w:pPr>
    <w:rPr>
      <w:rFonts w:ascii="Calibri" w:cs="Times New Roman" w:eastAsia="ＭＳ ゴシック"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blStylePr w:type="firstRow">
      <w:pPr/>
      <w:rPr>
        <w:b/>
        <w:bCs/>
        <w:color w:val="000000"/>
      </w:rPr>
      <w:tblPr/>
      <w:tcPr>
        <w:tcBorders/>
        <w:shd w:val="clear" w:color="auto" w:fill="fef4ec"/>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f79646"/>
          <w:insideV w:val="single" w:sz="6" w:space="0" w:color="f79646"/>
        </w:tcBorders>
        <w:shd w:val="clear" w:color="auto" w:fill="fbcaa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de9d9"/>
      </w:tcPr>
    </w:tblStylePr>
    <w:tblStylePr w:type="band1Vert">
      <w:pPr/>
      <w:tblPr/>
      <w:tcPr>
        <w:tcBorders/>
        <w:shd w:val="clear" w:color="auto" w:fill="fbcaa2"/>
      </w:tcPr>
    </w:tblStylePr>
    <w:tblStylePr w:type="nwCell">
      <w:pPr/>
      <w:tblPr/>
      <w:tcPr>
        <w:tcBorders/>
        <w:shd w:val="clear" w:color="auto" w:fill="ffffff"/>
      </w:tcPr>
    </w:tblStylePr>
    <w:tcPr>
      <w:tcBorders/>
      <w:shd w:val="clear" w:color="auto" w:fill="fde4d0"/>
    </w:tcPr>
  </w:style>
  <w:style w:type="table" w:styleId="style167">
    <w:name w:val="Medium Grid 3"/>
    <w:basedOn w:val="style105"/>
    <w:next w:val="style167"/>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000000"/>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000000"/>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f81b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f81b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c0504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c0504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9bbb59"/>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9bbb59"/>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8064a2"/>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8064a2"/>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bacc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bacc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f7964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f7964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cPr>
      <w:tcBorders/>
      <w:shd w:val="clear" w:color="auto" w:fill="fde4d0"/>
    </w:tcPr>
  </w:style>
  <w:style w:type="table" w:styleId="style168">
    <w:name w:val="Dark List"/>
    <w:basedOn w:val="style105"/>
    <w:next w:val="style168"/>
    <w:uiPriority w:val="70"/>
    <w:pPr>
      <w:spacing w:after="0" w:lineRule="auto" w:line="240"/>
    </w:pPr>
    <w:rPr>
      <w:color w:val="ffffff"/>
    </w:rPr>
    <w:tblPr>
      <w:tblStyleRowBandSize w:val="1"/>
      <w:tblStyleColBandSize w:val="1"/>
      <w:shd w:val="clear" w:color="auto" w:fill="000000"/>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000000"/>
      </w:tcPr>
    </w:tblStylePr>
    <w:tblStylePr w:type="band1Horz">
      <w:pPr/>
      <w:tblPr/>
      <w:tcPr>
        <w:tcBorders>
          <w:top w:val="nil"/>
          <w:left w:val="nil"/>
          <w:bottom w:val="nil"/>
          <w:right w:val="nil"/>
          <w:insideH w:val="nil"/>
          <w:insideV w:val="nil"/>
        </w:tcBorders>
        <w:shd w:val="clear" w:color="auto" w:fill="000000"/>
      </w:tcPr>
    </w:tblStylePr>
    <w:tblStylePr w:type="firstCol">
      <w:pPr/>
      <w:tblPr/>
      <w:tcPr>
        <w:tcBorders>
          <w:top w:val="nil"/>
          <w:left w:val="nil"/>
          <w:bottom w:val="nil"/>
          <w:right w:val="single" w:sz="18" w:space="0" w:color="ffffff"/>
          <w:insideH w:val="nil"/>
          <w:insideV w:val="nil"/>
        </w:tcBorders>
        <w:shd w:val="clear" w:color="auto" w:fill="000000"/>
      </w:tcPr>
    </w:tblStylePr>
    <w:tblStylePr w:type="lastCol">
      <w:pPr/>
      <w:tblPr/>
      <w:tcPr>
        <w:tcBorders>
          <w:top w:val="nil"/>
          <w:left w:val="single" w:sz="18" w:space="0" w:color="ffffff"/>
          <w:bottom w:val="nil"/>
          <w:right w:val="nil"/>
          <w:insideH w:val="nil"/>
          <w:insideV w:val="nil"/>
        </w:tcBorders>
        <w:shd w:val="clear" w:color="auto" w:fill="000000"/>
      </w:tcPr>
    </w:tblStylePr>
    <w:tblStylePr w:type="band1Vert">
      <w:pPr/>
      <w:tblPr/>
      <w:tcPr>
        <w:tcBorders>
          <w:top w:val="nil"/>
          <w:left w:val="nil"/>
          <w:bottom w:val="nil"/>
          <w:right w:val="nil"/>
          <w:insideH w:val="nil"/>
          <w:insideV w:val="nil"/>
        </w:tcBorders>
        <w:shd w:val="clear" w:color="auto" w:fill="000000"/>
      </w:tcPr>
    </w:tblStylePr>
    <w:tcPr>
      <w:tcBorders/>
      <w:shd w:val="clear" w:color="auto" w:fill="000000"/>
    </w:tcPr>
  </w:style>
  <w:style w:type="table" w:styleId="style186">
    <w:name w:val="Dark List Accent 1"/>
    <w:basedOn w:val="style105"/>
    <w:next w:val="style186"/>
    <w:uiPriority w:val="70"/>
    <w:pPr>
      <w:spacing w:after="0" w:lineRule="auto" w:line="240"/>
    </w:pPr>
    <w:rPr>
      <w:color w:val="ffffff"/>
    </w:rPr>
    <w:tblPr>
      <w:tblStyleRowBandSize w:val="1"/>
      <w:tblStyleColBandSize w:val="1"/>
      <w:shd w:val="clear" w:color="auto" w:fill="4f81bd"/>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43f60"/>
      </w:tcPr>
    </w:tblStylePr>
    <w:tblStylePr w:type="band1Horz">
      <w:pPr/>
      <w:tblPr/>
      <w:tcPr>
        <w:tcBorders>
          <w:top w:val="nil"/>
          <w:left w:val="nil"/>
          <w:bottom w:val="nil"/>
          <w:right w:val="nil"/>
          <w:insideH w:val="nil"/>
          <w:insideV w:val="nil"/>
        </w:tcBorders>
        <w:shd w:val="clear" w:color="auto" w:fill="365f91"/>
      </w:tcPr>
    </w:tblStylePr>
    <w:tblStylePr w:type="firstCol">
      <w:pPr/>
      <w:tblPr/>
      <w:tcPr>
        <w:tcBorders>
          <w:top w:val="nil"/>
          <w:left w:val="nil"/>
          <w:bottom w:val="nil"/>
          <w:right w:val="single" w:sz="18" w:space="0" w:color="ffffff"/>
          <w:insideH w:val="nil"/>
          <w:insideV w:val="nil"/>
        </w:tcBorders>
        <w:shd w:val="clear" w:color="auto" w:fill="365f91"/>
      </w:tcPr>
    </w:tblStylePr>
    <w:tblStylePr w:type="lastCol">
      <w:pPr/>
      <w:tblPr/>
      <w:tcPr>
        <w:tcBorders>
          <w:top w:val="nil"/>
          <w:left w:val="single" w:sz="18" w:space="0" w:color="ffffff"/>
          <w:bottom w:val="nil"/>
          <w:right w:val="nil"/>
          <w:insideH w:val="nil"/>
          <w:insideV w:val="nil"/>
        </w:tcBorders>
        <w:shd w:val="clear" w:color="auto" w:fill="365f91"/>
      </w:tcPr>
    </w:tblStylePr>
    <w:tblStylePr w:type="band1Vert">
      <w:pPr/>
      <w:tblPr/>
      <w:tcPr>
        <w:tcBorders>
          <w:top w:val="nil"/>
          <w:left w:val="nil"/>
          <w:bottom w:val="nil"/>
          <w:right w:val="nil"/>
          <w:insideH w:val="nil"/>
          <w:insideV w:val="nil"/>
        </w:tcBorders>
        <w:shd w:val="clear" w:color="auto" w:fill="365f91"/>
      </w:tcPr>
    </w:tblStylePr>
    <w:tcPr>
      <w:tcBorders/>
      <w:shd w:val="clear" w:color="auto" w:fill="4f81bd"/>
    </w:tcPr>
  </w:style>
  <w:style w:type="table" w:styleId="style200">
    <w:name w:val="Dark List Accent 2"/>
    <w:basedOn w:val="style105"/>
    <w:next w:val="style200"/>
    <w:uiPriority w:val="70"/>
    <w:pPr>
      <w:spacing w:after="0" w:lineRule="auto" w:line="240"/>
    </w:pPr>
    <w:rPr>
      <w:color w:val="ffffff"/>
    </w:rPr>
    <w:tblPr>
      <w:tblStyleRowBandSize w:val="1"/>
      <w:tblStyleColBandSize w:val="1"/>
      <w:shd w:val="clear" w:color="auto" w:fill="c0504d"/>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622423"/>
      </w:tcPr>
    </w:tblStylePr>
    <w:tblStylePr w:type="band1Horz">
      <w:pPr/>
      <w:tblPr/>
      <w:tcPr>
        <w:tcBorders>
          <w:top w:val="nil"/>
          <w:left w:val="nil"/>
          <w:bottom w:val="nil"/>
          <w:right w:val="nil"/>
          <w:insideH w:val="nil"/>
          <w:insideV w:val="nil"/>
        </w:tcBorders>
        <w:shd w:val="clear" w:color="auto" w:fill="943634"/>
      </w:tcPr>
    </w:tblStylePr>
    <w:tblStylePr w:type="firstCol">
      <w:pPr/>
      <w:tblPr/>
      <w:tcPr>
        <w:tcBorders>
          <w:top w:val="nil"/>
          <w:left w:val="nil"/>
          <w:bottom w:val="nil"/>
          <w:right w:val="single" w:sz="18" w:space="0" w:color="ffffff"/>
          <w:insideH w:val="nil"/>
          <w:insideV w:val="nil"/>
        </w:tcBorders>
        <w:shd w:val="clear" w:color="auto" w:fill="943634"/>
      </w:tcPr>
    </w:tblStylePr>
    <w:tblStylePr w:type="lastCol">
      <w:pPr/>
      <w:tblPr/>
      <w:tcPr>
        <w:tcBorders>
          <w:top w:val="nil"/>
          <w:left w:val="single" w:sz="18" w:space="0" w:color="ffffff"/>
          <w:bottom w:val="nil"/>
          <w:right w:val="nil"/>
          <w:insideH w:val="nil"/>
          <w:insideV w:val="nil"/>
        </w:tcBorders>
        <w:shd w:val="clear" w:color="auto" w:fill="943634"/>
      </w:tcPr>
    </w:tblStylePr>
    <w:tblStylePr w:type="band1Vert">
      <w:pPr/>
      <w:tblPr/>
      <w:tcPr>
        <w:tcBorders>
          <w:top w:val="nil"/>
          <w:left w:val="nil"/>
          <w:bottom w:val="nil"/>
          <w:right w:val="nil"/>
          <w:insideH w:val="nil"/>
          <w:insideV w:val="nil"/>
        </w:tcBorders>
        <w:shd w:val="clear" w:color="auto" w:fill="943634"/>
      </w:tcPr>
    </w:tblStylePr>
    <w:tcPr>
      <w:tcBorders/>
      <w:shd w:val="clear" w:color="auto" w:fill="c0504d"/>
    </w:tcPr>
  </w:style>
  <w:style w:type="table" w:styleId="style214">
    <w:name w:val="Dark List Accent 3"/>
    <w:basedOn w:val="style105"/>
    <w:next w:val="style214"/>
    <w:uiPriority w:val="70"/>
    <w:pPr>
      <w:spacing w:after="0" w:lineRule="auto" w:line="240"/>
    </w:pPr>
    <w:rPr>
      <w:color w:val="ffffff"/>
    </w:rPr>
    <w:tblPr>
      <w:tblStyleRowBandSize w:val="1"/>
      <w:tblStyleColBandSize w:val="1"/>
      <w:shd w:val="clear" w:color="auto" w:fill="9bbb59"/>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4e6128"/>
      </w:tcPr>
    </w:tblStylePr>
    <w:tblStylePr w:type="band1Horz">
      <w:pPr/>
      <w:tblPr/>
      <w:tcPr>
        <w:tcBorders>
          <w:top w:val="nil"/>
          <w:left w:val="nil"/>
          <w:bottom w:val="nil"/>
          <w:right w:val="nil"/>
          <w:insideH w:val="nil"/>
          <w:insideV w:val="nil"/>
        </w:tcBorders>
        <w:shd w:val="clear" w:color="auto" w:fill="76923c"/>
      </w:tcPr>
    </w:tblStylePr>
    <w:tblStylePr w:type="firstCol">
      <w:pPr/>
      <w:tblPr/>
      <w:tcPr>
        <w:tcBorders>
          <w:top w:val="nil"/>
          <w:left w:val="nil"/>
          <w:bottom w:val="nil"/>
          <w:right w:val="single" w:sz="18" w:space="0" w:color="ffffff"/>
          <w:insideH w:val="nil"/>
          <w:insideV w:val="nil"/>
        </w:tcBorders>
        <w:shd w:val="clear" w:color="auto" w:fill="76923c"/>
      </w:tcPr>
    </w:tblStylePr>
    <w:tblStylePr w:type="lastCol">
      <w:pPr/>
      <w:tblPr/>
      <w:tcPr>
        <w:tcBorders>
          <w:top w:val="nil"/>
          <w:left w:val="single" w:sz="18" w:space="0" w:color="ffffff"/>
          <w:bottom w:val="nil"/>
          <w:right w:val="nil"/>
          <w:insideH w:val="nil"/>
          <w:insideV w:val="nil"/>
        </w:tcBorders>
        <w:shd w:val="clear" w:color="auto" w:fill="76923c"/>
      </w:tcPr>
    </w:tblStylePr>
    <w:tblStylePr w:type="band1Vert">
      <w:pPr/>
      <w:tblPr/>
      <w:tcPr>
        <w:tcBorders>
          <w:top w:val="nil"/>
          <w:left w:val="nil"/>
          <w:bottom w:val="nil"/>
          <w:right w:val="nil"/>
          <w:insideH w:val="nil"/>
          <w:insideV w:val="nil"/>
        </w:tcBorders>
        <w:shd w:val="clear" w:color="auto" w:fill="76923c"/>
      </w:tcPr>
    </w:tblStylePr>
    <w:tcPr>
      <w:tcBorders/>
      <w:shd w:val="clear" w:color="auto" w:fill="9bbb59"/>
    </w:tcPr>
  </w:style>
  <w:style w:type="table" w:styleId="style228">
    <w:name w:val="Dark List Accent 4"/>
    <w:basedOn w:val="style105"/>
    <w:next w:val="style228"/>
    <w:uiPriority w:val="70"/>
    <w:pPr>
      <w:spacing w:after="0" w:lineRule="auto" w:line="240"/>
    </w:pPr>
    <w:rPr>
      <w:color w:val="ffffff"/>
    </w:rPr>
    <w:tblPr>
      <w:tblStyleRowBandSize w:val="1"/>
      <w:tblStyleColBandSize w:val="1"/>
      <w:shd w:val="clear" w:color="auto" w:fill="8064a2"/>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3f3151"/>
      </w:tcPr>
    </w:tblStylePr>
    <w:tblStylePr w:type="band1Horz">
      <w:pPr/>
      <w:tblPr/>
      <w:tcPr>
        <w:tcBorders>
          <w:top w:val="nil"/>
          <w:left w:val="nil"/>
          <w:bottom w:val="nil"/>
          <w:right w:val="nil"/>
          <w:insideH w:val="nil"/>
          <w:insideV w:val="nil"/>
        </w:tcBorders>
        <w:shd w:val="clear" w:color="auto" w:fill="5f497a"/>
      </w:tcPr>
    </w:tblStylePr>
    <w:tblStylePr w:type="firstCol">
      <w:pPr/>
      <w:tblPr/>
      <w:tcPr>
        <w:tcBorders>
          <w:top w:val="nil"/>
          <w:left w:val="nil"/>
          <w:bottom w:val="nil"/>
          <w:right w:val="single" w:sz="18" w:space="0" w:color="ffffff"/>
          <w:insideH w:val="nil"/>
          <w:insideV w:val="nil"/>
        </w:tcBorders>
        <w:shd w:val="clear" w:color="auto" w:fill="5f497a"/>
      </w:tcPr>
    </w:tblStylePr>
    <w:tblStylePr w:type="lastCol">
      <w:pPr/>
      <w:tblPr/>
      <w:tcPr>
        <w:tcBorders>
          <w:top w:val="nil"/>
          <w:left w:val="single" w:sz="18" w:space="0" w:color="ffffff"/>
          <w:bottom w:val="nil"/>
          <w:right w:val="nil"/>
          <w:insideH w:val="nil"/>
          <w:insideV w:val="nil"/>
        </w:tcBorders>
        <w:shd w:val="clear" w:color="auto" w:fill="5f497a"/>
      </w:tcPr>
    </w:tblStylePr>
    <w:tblStylePr w:type="band1Vert">
      <w:pPr/>
      <w:tblPr/>
      <w:tcPr>
        <w:tcBorders>
          <w:top w:val="nil"/>
          <w:left w:val="nil"/>
          <w:bottom w:val="nil"/>
          <w:right w:val="nil"/>
          <w:insideH w:val="nil"/>
          <w:insideV w:val="nil"/>
        </w:tcBorders>
        <w:shd w:val="clear" w:color="auto" w:fill="5f497a"/>
      </w:tcPr>
    </w:tblStylePr>
    <w:tcPr>
      <w:tcBorders/>
      <w:shd w:val="clear" w:color="auto" w:fill="8064a2"/>
    </w:tcPr>
  </w:style>
  <w:style w:type="table" w:styleId="style242">
    <w:name w:val="Dark List Accent 5"/>
    <w:basedOn w:val="style105"/>
    <w:next w:val="style242"/>
    <w:uiPriority w:val="70"/>
    <w:pPr>
      <w:spacing w:after="0" w:lineRule="auto" w:line="240"/>
    </w:pPr>
    <w:rPr>
      <w:color w:val="ffffff"/>
    </w:rPr>
    <w:tblPr>
      <w:tblStyleRowBandSize w:val="1"/>
      <w:tblStyleColBandSize w:val="1"/>
      <w:shd w:val="clear" w:color="auto" w:fill="4bacc6"/>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05867"/>
      </w:tcPr>
    </w:tblStylePr>
    <w:tblStylePr w:type="band1Horz">
      <w:pPr/>
      <w:tblPr/>
      <w:tcPr>
        <w:tcBorders>
          <w:top w:val="nil"/>
          <w:left w:val="nil"/>
          <w:bottom w:val="nil"/>
          <w:right w:val="nil"/>
          <w:insideH w:val="nil"/>
          <w:insideV w:val="nil"/>
        </w:tcBorders>
        <w:shd w:val="clear" w:color="auto" w:fill="31849b"/>
      </w:tcPr>
    </w:tblStylePr>
    <w:tblStylePr w:type="firstCol">
      <w:pPr/>
      <w:tblPr/>
      <w:tcPr>
        <w:tcBorders>
          <w:top w:val="nil"/>
          <w:left w:val="nil"/>
          <w:bottom w:val="nil"/>
          <w:right w:val="single" w:sz="18" w:space="0" w:color="ffffff"/>
          <w:insideH w:val="nil"/>
          <w:insideV w:val="nil"/>
        </w:tcBorders>
        <w:shd w:val="clear" w:color="auto" w:fill="31849b"/>
      </w:tcPr>
    </w:tblStylePr>
    <w:tblStylePr w:type="lastCol">
      <w:pPr/>
      <w:tblPr/>
      <w:tcPr>
        <w:tcBorders>
          <w:top w:val="nil"/>
          <w:left w:val="single" w:sz="18" w:space="0" w:color="ffffff"/>
          <w:bottom w:val="nil"/>
          <w:right w:val="nil"/>
          <w:insideH w:val="nil"/>
          <w:insideV w:val="nil"/>
        </w:tcBorders>
        <w:shd w:val="clear" w:color="auto" w:fill="31849b"/>
      </w:tcPr>
    </w:tblStylePr>
    <w:tblStylePr w:type="band1Vert">
      <w:pPr/>
      <w:tblPr/>
      <w:tcPr>
        <w:tcBorders>
          <w:top w:val="nil"/>
          <w:left w:val="nil"/>
          <w:bottom w:val="nil"/>
          <w:right w:val="nil"/>
          <w:insideH w:val="nil"/>
          <w:insideV w:val="nil"/>
        </w:tcBorders>
        <w:shd w:val="clear" w:color="auto" w:fill="31849b"/>
      </w:tcPr>
    </w:tblStylePr>
    <w:tcPr>
      <w:tcBorders/>
      <w:shd w:val="clear" w:color="auto" w:fill="4bacc6"/>
    </w:tcPr>
  </w:style>
  <w:style w:type="table" w:styleId="style256">
    <w:name w:val="Dark List Accent 6"/>
    <w:basedOn w:val="style105"/>
    <w:next w:val="style256"/>
    <w:uiPriority w:val="70"/>
    <w:pPr>
      <w:spacing w:after="0" w:lineRule="auto" w:line="240"/>
    </w:pPr>
    <w:rPr>
      <w:color w:val="ffffff"/>
    </w:rPr>
    <w:tblPr>
      <w:tblStyleRowBandSize w:val="1"/>
      <w:tblStyleColBandSize w:val="1"/>
      <w:shd w:val="clear" w:color="auto" w:fill="f79646"/>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974706"/>
      </w:tcPr>
    </w:tblStylePr>
    <w:tblStylePr w:type="band1Horz">
      <w:pPr/>
      <w:tblPr/>
      <w:tcPr>
        <w:tcBorders>
          <w:top w:val="nil"/>
          <w:left w:val="nil"/>
          <w:bottom w:val="nil"/>
          <w:right w:val="nil"/>
          <w:insideH w:val="nil"/>
          <w:insideV w:val="nil"/>
        </w:tcBorders>
        <w:shd w:val="clear" w:color="auto" w:fill="e36c0a"/>
      </w:tcPr>
    </w:tblStylePr>
    <w:tblStylePr w:type="firstCol">
      <w:pPr/>
      <w:tblPr/>
      <w:tcPr>
        <w:tcBorders>
          <w:top w:val="nil"/>
          <w:left w:val="nil"/>
          <w:bottom w:val="nil"/>
          <w:right w:val="single" w:sz="18" w:space="0" w:color="ffffff"/>
          <w:insideH w:val="nil"/>
          <w:insideV w:val="nil"/>
        </w:tcBorders>
        <w:shd w:val="clear" w:color="auto" w:fill="e36c0a"/>
      </w:tcPr>
    </w:tblStylePr>
    <w:tblStylePr w:type="lastCol">
      <w:pPr/>
      <w:tblPr/>
      <w:tcPr>
        <w:tcBorders>
          <w:top w:val="nil"/>
          <w:left w:val="single" w:sz="18" w:space="0" w:color="ffffff"/>
          <w:bottom w:val="nil"/>
          <w:right w:val="nil"/>
          <w:insideH w:val="nil"/>
          <w:insideV w:val="nil"/>
        </w:tcBorders>
        <w:shd w:val="clear" w:color="auto" w:fill="e36c0a"/>
      </w:tcPr>
    </w:tblStylePr>
    <w:tblStylePr w:type="band1Vert">
      <w:pPr/>
      <w:tblPr/>
      <w:tcPr>
        <w:tcBorders>
          <w:top w:val="nil"/>
          <w:left w:val="nil"/>
          <w:bottom w:val="nil"/>
          <w:right w:val="nil"/>
          <w:insideH w:val="nil"/>
          <w:insideV w:val="nil"/>
        </w:tcBorders>
        <w:shd w:val="clear" w:color="auto" w:fill="e36c0a"/>
      </w:tcPr>
    </w:tblStylePr>
    <w:tcPr>
      <w:tcBorders/>
      <w:shd w:val="clear" w:color="auto" w:fill="f79646"/>
    </w:tcPr>
  </w:style>
  <w:style w:type="table" w:styleId="style169">
    <w:name w:val="Colorful Shading"/>
    <w:basedOn w:val="style105"/>
    <w:next w:val="style169"/>
    <w:uiPriority w:val="71"/>
    <w:pPr>
      <w:spacing w:after="0" w:lineRule="auto" w:line="240"/>
    </w:pPr>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000000"/>
      </w:tcPr>
    </w:tblStylePr>
    <w:tblStylePr w:type="band1Horz">
      <w:pPr/>
      <w:tblPr/>
      <w:tcPr>
        <w:tcBorders/>
        <w:shd w:val="clear" w:color="auto" w:fill="808080"/>
      </w:tcPr>
    </w:tblStylePr>
    <w:tblStylePr w:type="firstCol">
      <w:pPr/>
      <w:rPr>
        <w:color w:val="ffffff"/>
      </w:rPr>
      <w:tblPr/>
      <w:tcPr>
        <w:tcBorders>
          <w:top w:val="nil"/>
          <w:left w:val="nil"/>
          <w:bottom w:val="nil"/>
          <w:right w:val="nil"/>
          <w:insideH w:val="single" w:sz="4" w:space="0" w:color="000000"/>
          <w:insideV w:val="nil"/>
        </w:tcBorders>
        <w:shd w:val="clear" w:color="auto" w:fill="000000"/>
      </w:tcPr>
    </w:tblStylePr>
    <w:tblStylePr w:type="lastCol">
      <w:pPr/>
      <w:rPr>
        <w:color w:val="ffffff"/>
      </w:rPr>
      <w:tblPr/>
      <w:tcPr>
        <w:tcBorders>
          <w:top w:val="nil"/>
          <w:left w:val="nil"/>
          <w:bottom w:val="nil"/>
          <w:right w:val="nil"/>
          <w:insideH w:val="nil"/>
          <w:insideV w:val="nil"/>
        </w:tcBorders>
        <w:shd w:val="clear" w:color="auto" w:fill="000000"/>
      </w:tcPr>
    </w:tblStylePr>
    <w:tblStylePr w:type="band1Vert">
      <w:pPr/>
      <w:tblPr/>
      <w:tcPr>
        <w:tcBorders/>
        <w:shd w:val="clear" w:color="auto" w:fill="999999"/>
      </w:tcPr>
    </w:tblStylePr>
    <w:tblStylePr w:type="neCell">
      <w:pPr/>
      <w:rPr>
        <w:color w:val="000000"/>
      </w:rPr>
      <w:tcPr>
        <w:tcBorders/>
      </w:tcPr>
    </w:tblStylePr>
    <w:tblStylePr w:type="nwCell">
      <w:pPr/>
      <w:rPr>
        <w:color w:val="000000"/>
      </w:rPr>
      <w:tcPr>
        <w:tcBorders/>
      </w:tcPr>
    </w:tblStylePr>
    <w:tcPr>
      <w:tcBorders/>
      <w:shd w:val="clear" w:color="auto" w:fill="e6e6e6"/>
    </w:tcPr>
  </w:style>
  <w:style w:type="table" w:styleId="style187">
    <w:name w:val="Colorful Shading Accent 1"/>
    <w:basedOn w:val="style105"/>
    <w:next w:val="style187"/>
    <w:uiPriority w:val="71"/>
    <w:pPr>
      <w:spacing w:after="0" w:lineRule="auto" w:line="240"/>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c4c74"/>
      </w:tcPr>
    </w:tblStylePr>
    <w:tblStylePr w:type="band1Horz">
      <w:pPr/>
      <w:tblPr/>
      <w:tcPr>
        <w:tcBorders/>
        <w:shd w:val="clear" w:color="auto" w:fill="a7bfde"/>
      </w:tcPr>
    </w:tblStylePr>
    <w:tblStylePr w:type="firstCol">
      <w:pPr/>
      <w:rPr>
        <w:color w:val="ffffff"/>
      </w:rPr>
      <w:tblPr/>
      <w:tcPr>
        <w:tcBorders>
          <w:top w:val="nil"/>
          <w:left w:val="nil"/>
          <w:bottom w:val="nil"/>
          <w:right w:val="nil"/>
          <w:insideH w:val="single" w:sz="4" w:space="0" w:color="2c4c74"/>
          <w:insideV w:val="nil"/>
        </w:tcBorders>
        <w:shd w:val="clear" w:color="auto" w:fill="2c4c74"/>
      </w:tcPr>
    </w:tblStylePr>
    <w:tblStylePr w:type="lastCol">
      <w:pPr/>
      <w:rPr>
        <w:color w:val="ffffff"/>
      </w:rPr>
      <w:tblPr/>
      <w:tcPr>
        <w:tcBorders>
          <w:top w:val="nil"/>
          <w:left w:val="nil"/>
          <w:bottom w:val="nil"/>
          <w:right w:val="nil"/>
          <w:insideH w:val="nil"/>
          <w:insideV w:val="nil"/>
        </w:tcBorders>
        <w:shd w:val="clear" w:color="auto" w:fill="2c4c74"/>
      </w:tcPr>
    </w:tblStylePr>
    <w:tblStylePr w:type="band1Vert">
      <w:pPr/>
      <w:tblPr/>
      <w:tcPr>
        <w:tcBorders/>
        <w:shd w:val="clear" w:color="auto" w:fill="b8cce4"/>
      </w:tcPr>
    </w:tblStylePr>
    <w:tblStylePr w:type="neCell">
      <w:pPr/>
      <w:rPr>
        <w:color w:val="000000"/>
      </w:rPr>
      <w:tcPr>
        <w:tcBorders/>
      </w:tcPr>
    </w:tblStylePr>
    <w:tblStylePr w:type="nwCell">
      <w:pPr/>
      <w:rPr>
        <w:color w:val="000000"/>
      </w:rPr>
      <w:tcPr>
        <w:tcBorders/>
      </w:tcPr>
    </w:tblStylePr>
    <w:tcPr>
      <w:tcBorders/>
      <w:shd w:val="clear" w:color="auto" w:fill="edf2f8"/>
    </w:tcPr>
  </w:style>
  <w:style w:type="table" w:styleId="style201">
    <w:name w:val="Colorful Shading Accent 2"/>
    <w:basedOn w:val="style105"/>
    <w:next w:val="style201"/>
    <w:uiPriority w:val="71"/>
    <w:pPr>
      <w:spacing w:after="0" w:lineRule="auto" w:line="240"/>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772c2a"/>
      </w:tcPr>
    </w:tblStylePr>
    <w:tblStylePr w:type="band1Horz">
      <w:pPr/>
      <w:tblPr/>
      <w:tcPr>
        <w:tcBorders/>
        <w:shd w:val="clear" w:color="auto" w:fill="dfa7a6"/>
      </w:tcPr>
    </w:tblStylePr>
    <w:tblStylePr w:type="firstCol">
      <w:pPr/>
      <w:rPr>
        <w:color w:val="ffffff"/>
      </w:rPr>
      <w:tblPr/>
      <w:tcPr>
        <w:tcBorders>
          <w:top w:val="nil"/>
          <w:left w:val="nil"/>
          <w:bottom w:val="nil"/>
          <w:right w:val="nil"/>
          <w:insideH w:val="single" w:sz="4" w:space="0" w:color="772c2a"/>
          <w:insideV w:val="nil"/>
        </w:tcBorders>
        <w:shd w:val="clear" w:color="auto" w:fill="772c2a"/>
      </w:tcPr>
    </w:tblStylePr>
    <w:tblStylePr w:type="lastCol">
      <w:pPr/>
      <w:rPr>
        <w:color w:val="ffffff"/>
      </w:rPr>
      <w:tblPr/>
      <w:tcPr>
        <w:tcBorders>
          <w:top w:val="nil"/>
          <w:left w:val="nil"/>
          <w:bottom w:val="nil"/>
          <w:right w:val="nil"/>
          <w:insideH w:val="nil"/>
          <w:insideV w:val="nil"/>
        </w:tcBorders>
        <w:shd w:val="clear" w:color="auto" w:fill="772c2a"/>
      </w:tcPr>
    </w:tblStylePr>
    <w:tblStylePr w:type="band1Vert">
      <w:pPr/>
      <w:tblPr/>
      <w:tcPr>
        <w:tcBorders/>
        <w:shd w:val="clear" w:color="auto" w:fill="e5b8b7"/>
      </w:tcPr>
    </w:tblStylePr>
    <w:tblStylePr w:type="neCell">
      <w:pPr/>
      <w:rPr>
        <w:color w:val="000000"/>
      </w:rPr>
      <w:tcPr>
        <w:tcBorders/>
      </w:tcPr>
    </w:tblStylePr>
    <w:tblStylePr w:type="nwCell">
      <w:pPr/>
      <w:rPr>
        <w:color w:val="000000"/>
      </w:rPr>
      <w:tcPr>
        <w:tcBorders/>
      </w:tcPr>
    </w:tblStylePr>
    <w:tcPr>
      <w:tcBorders/>
      <w:shd w:val="clear" w:color="auto" w:fill="f8eded"/>
    </w:tcPr>
  </w:style>
  <w:style w:type="table" w:styleId="style215">
    <w:name w:val="Colorful Shading Accent 3"/>
    <w:basedOn w:val="style105"/>
    <w:next w:val="style215"/>
    <w:uiPriority w:val="71"/>
    <w:pPr>
      <w:spacing w:after="0" w:lineRule="auto" w:line="240"/>
    </w:pPr>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blStylePr w:type="firstRow">
      <w:pPr/>
      <w:rPr>
        <w:b/>
        <w:bCs/>
      </w:rPr>
      <w:tblPr/>
      <w:tcPr>
        <w:tcBorders>
          <w:top w:val="nil"/>
          <w:left w:val="nil"/>
          <w:bottom w:val="single" w:sz="24" w:space="0" w:color="8064a2"/>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5e7530"/>
      </w:tcPr>
    </w:tblStylePr>
    <w:tblStylePr w:type="band1Horz">
      <w:pPr/>
      <w:tblPr/>
      <w:tcPr>
        <w:tcBorders/>
        <w:shd w:val="clear" w:color="auto" w:fill="cdddac"/>
      </w:tcPr>
    </w:tblStylePr>
    <w:tblStylePr w:type="firstCol">
      <w:pPr/>
      <w:rPr>
        <w:color w:val="ffffff"/>
      </w:rPr>
      <w:tblPr/>
      <w:tcPr>
        <w:tcBorders>
          <w:top w:val="nil"/>
          <w:left w:val="nil"/>
          <w:bottom w:val="nil"/>
          <w:right w:val="nil"/>
          <w:insideH w:val="single" w:sz="4" w:space="0" w:color="5e7530"/>
          <w:insideV w:val="nil"/>
        </w:tcBorders>
        <w:shd w:val="clear" w:color="auto" w:fill="5e7530"/>
      </w:tcPr>
    </w:tblStylePr>
    <w:tblStylePr w:type="lastCol">
      <w:pPr/>
      <w:rPr>
        <w:color w:val="ffffff"/>
      </w:rPr>
      <w:tblPr/>
      <w:tcPr>
        <w:tcBorders>
          <w:top w:val="nil"/>
          <w:left w:val="nil"/>
          <w:bottom w:val="nil"/>
          <w:right w:val="nil"/>
          <w:insideH w:val="nil"/>
          <w:insideV w:val="nil"/>
        </w:tcBorders>
        <w:shd w:val="clear" w:color="auto" w:fill="5e7530"/>
      </w:tcPr>
    </w:tblStylePr>
    <w:tblStylePr w:type="band1Vert">
      <w:pPr/>
      <w:tblPr/>
      <w:tcPr>
        <w:tcBorders/>
        <w:shd w:val="clear" w:color="auto" w:fill="d6e3bc"/>
      </w:tcPr>
    </w:tblStylePr>
    <w:tcPr>
      <w:tcBorders/>
      <w:shd w:val="clear" w:color="auto" w:fill="f5f8ee"/>
    </w:tcPr>
  </w:style>
  <w:style w:type="table" w:styleId="style229">
    <w:name w:val="Colorful Shading Accent 4"/>
    <w:basedOn w:val="style105"/>
    <w:next w:val="style229"/>
    <w:uiPriority w:val="71"/>
    <w:pPr>
      <w:spacing w:after="0" w:lineRule="auto" w:line="240"/>
    </w:pPr>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blStylePr w:type="firstRow">
      <w:pPr/>
      <w:rPr>
        <w:b/>
        <w:bCs/>
      </w:rPr>
      <w:tblPr/>
      <w:tcPr>
        <w:tcBorders>
          <w:top w:val="nil"/>
          <w:left w:val="nil"/>
          <w:bottom w:val="single" w:sz="24" w:space="0" w:color="9bbb59"/>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4c3b62"/>
      </w:tcPr>
    </w:tblStylePr>
    <w:tblStylePr w:type="band1Horz">
      <w:pPr/>
      <w:tblPr/>
      <w:tcPr>
        <w:tcBorders/>
        <w:shd w:val="clear" w:color="auto" w:fill="bfb1d0"/>
      </w:tcPr>
    </w:tblStylePr>
    <w:tblStylePr w:type="firstCol">
      <w:pPr/>
      <w:rPr>
        <w:color w:val="ffffff"/>
      </w:rPr>
      <w:tblPr/>
      <w:tcPr>
        <w:tcBorders>
          <w:top w:val="nil"/>
          <w:left w:val="nil"/>
          <w:bottom w:val="nil"/>
          <w:right w:val="nil"/>
          <w:insideH w:val="single" w:sz="4" w:space="0" w:color="4c3b62"/>
          <w:insideV w:val="nil"/>
        </w:tcBorders>
        <w:shd w:val="clear" w:color="auto" w:fill="4c3b62"/>
      </w:tcPr>
    </w:tblStylePr>
    <w:tblStylePr w:type="lastCol">
      <w:pPr/>
      <w:rPr>
        <w:color w:val="ffffff"/>
      </w:rPr>
      <w:tblPr/>
      <w:tcPr>
        <w:tcBorders>
          <w:top w:val="nil"/>
          <w:left w:val="nil"/>
          <w:bottom w:val="nil"/>
          <w:right w:val="nil"/>
          <w:insideH w:val="nil"/>
          <w:insideV w:val="nil"/>
        </w:tcBorders>
        <w:shd w:val="clear" w:color="auto" w:fill="4c3b62"/>
      </w:tcPr>
    </w:tblStylePr>
    <w:tblStylePr w:type="band1Vert">
      <w:pPr/>
      <w:tblPr/>
      <w:tcPr>
        <w:tcBorders/>
        <w:shd w:val="clear" w:color="auto" w:fill="ccc0d9"/>
      </w:tcPr>
    </w:tblStylePr>
    <w:tblStylePr w:type="neCell">
      <w:pPr/>
      <w:rPr>
        <w:color w:val="000000"/>
      </w:rPr>
      <w:tcPr>
        <w:tcBorders/>
      </w:tcPr>
    </w:tblStylePr>
    <w:tblStylePr w:type="nwCell">
      <w:pPr/>
      <w:rPr>
        <w:color w:val="000000"/>
      </w:rPr>
      <w:tcPr>
        <w:tcBorders/>
      </w:tcPr>
    </w:tblStylePr>
    <w:tcPr>
      <w:tcBorders/>
      <w:shd w:val="clear" w:color="auto" w:fill="f2eff6"/>
    </w:tcPr>
  </w:style>
  <w:style w:type="table" w:styleId="style243">
    <w:name w:val="Colorful Shading Accent 5"/>
    <w:basedOn w:val="style105"/>
    <w:next w:val="style243"/>
    <w:uiPriority w:val="71"/>
    <w:pPr>
      <w:spacing w:after="0" w:lineRule="auto" w:line="240"/>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blStylePr w:type="firstRow">
      <w:pPr/>
      <w:rPr>
        <w:b/>
        <w:bCs/>
      </w:rPr>
      <w:tblPr/>
      <w:tcPr>
        <w:tcBorders>
          <w:top w:val="nil"/>
          <w:left w:val="nil"/>
          <w:bottom w:val="single" w:sz="24" w:space="0" w:color="f7964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76a7c"/>
      </w:tcPr>
    </w:tblStylePr>
    <w:tblStylePr w:type="band1Horz">
      <w:pPr/>
      <w:tblPr/>
      <w:tcPr>
        <w:tcBorders/>
        <w:shd w:val="clear" w:color="auto" w:fill="a5d5e2"/>
      </w:tcPr>
    </w:tblStylePr>
    <w:tblStylePr w:type="firstCol">
      <w:pPr/>
      <w:rPr>
        <w:color w:val="ffffff"/>
      </w:rPr>
      <w:tblPr/>
      <w:tcPr>
        <w:tcBorders>
          <w:top w:val="nil"/>
          <w:left w:val="nil"/>
          <w:bottom w:val="nil"/>
          <w:right w:val="nil"/>
          <w:insideH w:val="single" w:sz="4" w:space="0" w:color="276a7c"/>
          <w:insideV w:val="nil"/>
        </w:tcBorders>
        <w:shd w:val="clear" w:color="auto" w:fill="276a7c"/>
      </w:tcPr>
    </w:tblStylePr>
    <w:tblStylePr w:type="lastCol">
      <w:pPr/>
      <w:rPr>
        <w:color w:val="ffffff"/>
      </w:rPr>
      <w:tblPr/>
      <w:tcPr>
        <w:tcBorders>
          <w:top w:val="nil"/>
          <w:left w:val="nil"/>
          <w:bottom w:val="nil"/>
          <w:right w:val="nil"/>
          <w:insideH w:val="nil"/>
          <w:insideV w:val="nil"/>
        </w:tcBorders>
        <w:shd w:val="clear" w:color="auto" w:fill="276a7c"/>
      </w:tcPr>
    </w:tblStylePr>
    <w:tblStylePr w:type="band1Vert">
      <w:pPr/>
      <w:tblPr/>
      <w:tcPr>
        <w:tcBorders/>
        <w:shd w:val="clear" w:color="auto" w:fill="b6dde8"/>
      </w:tcPr>
    </w:tblStylePr>
    <w:tblStylePr w:type="neCell">
      <w:pPr/>
      <w:rPr>
        <w:color w:val="000000"/>
      </w:rPr>
      <w:tcPr>
        <w:tcBorders/>
      </w:tcPr>
    </w:tblStylePr>
    <w:tblStylePr w:type="nwCell">
      <w:pPr/>
      <w:rPr>
        <w:color w:val="000000"/>
      </w:rPr>
      <w:tcPr>
        <w:tcBorders/>
      </w:tcPr>
    </w:tblStylePr>
    <w:tcPr>
      <w:tcBorders/>
      <w:shd w:val="clear" w:color="auto" w:fill="edf6f9"/>
    </w:tcPr>
  </w:style>
  <w:style w:type="table" w:styleId="style257">
    <w:name w:val="Colorful Shading Accent 6"/>
    <w:basedOn w:val="style105"/>
    <w:next w:val="style257"/>
    <w:uiPriority w:val="71"/>
    <w:pPr>
      <w:spacing w:after="0" w:lineRule="auto" w:line="240"/>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blStylePr w:type="firstRow">
      <w:pPr/>
      <w:rPr>
        <w:b/>
        <w:bCs/>
      </w:rPr>
      <w:tblPr/>
      <w:tcPr>
        <w:tcBorders>
          <w:top w:val="nil"/>
          <w:left w:val="nil"/>
          <w:bottom w:val="single" w:sz="24" w:space="0" w:color="4bacc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b65608"/>
      </w:tcPr>
    </w:tblStylePr>
    <w:tblStylePr w:type="band1Horz">
      <w:pPr/>
      <w:tblPr/>
      <w:tcPr>
        <w:tcBorders/>
        <w:shd w:val="clear" w:color="auto" w:fill="fbcaa2"/>
      </w:tcPr>
    </w:tblStylePr>
    <w:tblStylePr w:type="firstCol">
      <w:pPr/>
      <w:rPr>
        <w:color w:val="ffffff"/>
      </w:rPr>
      <w:tblPr/>
      <w:tcPr>
        <w:tcBorders>
          <w:top w:val="nil"/>
          <w:left w:val="nil"/>
          <w:bottom w:val="nil"/>
          <w:right w:val="nil"/>
          <w:insideH w:val="single" w:sz="4" w:space="0" w:color="b65608"/>
          <w:insideV w:val="nil"/>
        </w:tcBorders>
        <w:shd w:val="clear" w:color="auto" w:fill="b65608"/>
      </w:tcPr>
    </w:tblStylePr>
    <w:tblStylePr w:type="lastCol">
      <w:pPr/>
      <w:rPr>
        <w:color w:val="ffffff"/>
      </w:rPr>
      <w:tblPr/>
      <w:tcPr>
        <w:tcBorders>
          <w:top w:val="nil"/>
          <w:left w:val="nil"/>
          <w:bottom w:val="nil"/>
          <w:right w:val="nil"/>
          <w:insideH w:val="nil"/>
          <w:insideV w:val="nil"/>
        </w:tcBorders>
        <w:shd w:val="clear" w:color="auto" w:fill="b65608"/>
      </w:tcPr>
    </w:tblStylePr>
    <w:tblStylePr w:type="band1Vert">
      <w:pPr/>
      <w:tblPr/>
      <w:tcPr>
        <w:tcBorders/>
        <w:shd w:val="clear" w:color="auto" w:fill="fbd4b4"/>
      </w:tcPr>
    </w:tblStylePr>
    <w:tblStylePr w:type="neCell">
      <w:pPr/>
      <w:rPr>
        <w:color w:val="000000"/>
      </w:rPr>
      <w:tcPr>
        <w:tcBorders/>
      </w:tcPr>
    </w:tblStylePr>
    <w:tblStylePr w:type="nwCell">
      <w:pPr/>
      <w:rPr>
        <w:color w:val="000000"/>
      </w:rPr>
      <w:tcPr>
        <w:tcBorders/>
      </w:tcPr>
    </w:tblStylePr>
    <w:tcPr>
      <w:tcBorders/>
      <w:shd w:val="clear" w:color="auto" w:fill="fef4ec"/>
    </w:tcPr>
  </w:style>
  <w:style w:type="table" w:styleId="style170">
    <w:name w:val="Colorful List"/>
    <w:basedOn w:val="style105"/>
    <w:next w:val="style170"/>
    <w:uiPriority w:val="72"/>
    <w:pPr>
      <w:spacing w:after="0" w:lineRule="auto" w:line="240"/>
    </w:pPr>
    <w:rPr>
      <w:color w:val="000000"/>
    </w:rPr>
    <w:tblPr>
      <w:tblStyleRowBandSize w:val="1"/>
      <w:tblStyleColBandSize w:val="1"/>
      <w:shd w:val="clear" w:color="auto" w:fill="e6e6e6"/>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c0c0c0"/>
      </w:tcPr>
    </w:tblStylePr>
    <w:tcPr>
      <w:tcBorders/>
      <w:shd w:val="clear" w:color="auto" w:fill="e6e6e6"/>
    </w:tcPr>
  </w:style>
  <w:style w:type="table" w:styleId="style188">
    <w:name w:val="Colorful List Accent 1"/>
    <w:basedOn w:val="style105"/>
    <w:next w:val="style188"/>
    <w:uiPriority w:val="72"/>
    <w:pPr>
      <w:spacing w:after="0" w:lineRule="auto" w:line="240"/>
    </w:pPr>
    <w:rPr>
      <w:color w:val="000000"/>
    </w:rPr>
    <w:tblPr>
      <w:tblStyleRowBandSize w:val="1"/>
      <w:tblStyleColBandSize w:val="1"/>
      <w:shd w:val="clear" w:color="auto" w:fill="edf2f8"/>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dbe5f1"/>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3dfee"/>
      </w:tcPr>
    </w:tblStylePr>
    <w:tcPr>
      <w:tcBorders/>
      <w:shd w:val="clear" w:color="auto" w:fill="edf2f8"/>
    </w:tcPr>
  </w:style>
  <w:style w:type="table" w:styleId="style202">
    <w:name w:val="Colorful List Accent 2"/>
    <w:basedOn w:val="style105"/>
    <w:next w:val="style202"/>
    <w:uiPriority w:val="72"/>
    <w:pPr>
      <w:spacing w:after="0" w:lineRule="auto" w:line="240"/>
    </w:pPr>
    <w:rPr>
      <w:color w:val="000000"/>
    </w:rPr>
    <w:tblPr>
      <w:tblStyleRowBandSize w:val="1"/>
      <w:tblStyleColBandSize w:val="1"/>
      <w:shd w:val="clear" w:color="auto" w:fill="f8eded"/>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f2dbdb"/>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fd3d2"/>
      </w:tcPr>
    </w:tblStylePr>
    <w:tcPr>
      <w:tcBorders/>
      <w:shd w:val="clear" w:color="auto" w:fill="f8eded"/>
    </w:tcPr>
  </w:style>
  <w:style w:type="table" w:styleId="style216">
    <w:name w:val="Colorful List Accent 3"/>
    <w:basedOn w:val="style105"/>
    <w:next w:val="style216"/>
    <w:uiPriority w:val="72"/>
    <w:pPr>
      <w:spacing w:after="0" w:lineRule="auto" w:line="240"/>
    </w:pPr>
    <w:rPr>
      <w:color w:val="000000"/>
    </w:rPr>
    <w:tblPr>
      <w:tblStyleRowBandSize w:val="1"/>
      <w:tblStyleColBandSize w:val="1"/>
      <w:shd w:val="clear" w:color="auto" w:fill="f5f8ee"/>
    </w:tblPr>
    <w:tblStylePr w:type="firstRow">
      <w:pPr/>
      <w:rPr>
        <w:b/>
        <w:bCs/>
        <w:color w:val="ffffff"/>
      </w:rPr>
      <w:tblPr/>
      <w:tcPr>
        <w:tcBorders>
          <w:bottom w:val="single" w:sz="12" w:space="0" w:color="ffffff"/>
        </w:tcBorders>
        <w:shd w:val="clear" w:color="auto" w:fill="664e82"/>
      </w:tcPr>
    </w:tblStylePr>
    <w:tblStylePr w:type="lastRow">
      <w:pPr/>
      <w:rPr>
        <w:b/>
        <w:bCs/>
        <w:color w:val="664e82"/>
      </w:rPr>
      <w:tblPr/>
      <w:tcPr>
        <w:tcBorders>
          <w:top w:val="single" w:sz="12" w:space="0" w:color="000000"/>
        </w:tcBorders>
        <w:shd w:val="clear" w:color="auto" w:fill="ffffff"/>
      </w:tcPr>
    </w:tblStylePr>
    <w:tblStylePr w:type="band1Horz">
      <w:pPr/>
      <w:tblPr/>
      <w:tcPr>
        <w:tcBorders/>
        <w:shd w:val="clear" w:color="auto" w:fill="eaf1dd"/>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6eed5"/>
      </w:tcPr>
    </w:tblStylePr>
    <w:tcPr>
      <w:tcBorders/>
      <w:shd w:val="clear" w:color="auto" w:fill="f5f8ee"/>
    </w:tcPr>
  </w:style>
  <w:style w:type="table" w:styleId="style230">
    <w:name w:val="Colorful List Accent 4"/>
    <w:basedOn w:val="style105"/>
    <w:next w:val="style230"/>
    <w:uiPriority w:val="72"/>
    <w:pPr>
      <w:spacing w:after="0" w:lineRule="auto" w:line="240"/>
    </w:pPr>
    <w:rPr>
      <w:color w:val="000000"/>
    </w:rPr>
    <w:tblPr>
      <w:tblStyleRowBandSize w:val="1"/>
      <w:tblStyleColBandSize w:val="1"/>
      <w:shd w:val="clear" w:color="auto" w:fill="f2eff6"/>
    </w:tblPr>
    <w:tblStylePr w:type="firstRow">
      <w:pPr/>
      <w:rPr>
        <w:b/>
        <w:bCs/>
        <w:color w:val="ffffff"/>
      </w:rPr>
      <w:tblPr/>
      <w:tcPr>
        <w:tcBorders>
          <w:bottom w:val="single" w:sz="12" w:space="0" w:color="ffffff"/>
        </w:tcBorders>
        <w:shd w:val="clear" w:color="auto" w:fill="7e9c40"/>
      </w:tcPr>
    </w:tblStylePr>
    <w:tblStylePr w:type="lastRow">
      <w:pPr/>
      <w:rPr>
        <w:b/>
        <w:bCs/>
        <w:color w:val="7e9c40"/>
      </w:rPr>
      <w:tblPr/>
      <w:tcPr>
        <w:tcBorders>
          <w:top w:val="single" w:sz="12" w:space="0" w:color="000000"/>
        </w:tcBorders>
        <w:shd w:val="clear" w:color="auto" w:fill="ffffff"/>
      </w:tcPr>
    </w:tblStylePr>
    <w:tblStylePr w:type="band1Horz">
      <w:pPr/>
      <w:tblPr/>
      <w:tcPr>
        <w:tcBorders/>
        <w:shd w:val="clear" w:color="auto" w:fill="e5dfe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fd8e8"/>
      </w:tcPr>
    </w:tblStylePr>
    <w:tcPr>
      <w:tcBorders/>
      <w:shd w:val="clear" w:color="auto" w:fill="f2eff6"/>
    </w:tcPr>
  </w:style>
  <w:style w:type="table" w:styleId="style244">
    <w:name w:val="Colorful List Accent 5"/>
    <w:basedOn w:val="style105"/>
    <w:next w:val="style244"/>
    <w:uiPriority w:val="72"/>
    <w:pPr>
      <w:spacing w:after="0" w:lineRule="auto" w:line="240"/>
    </w:pPr>
    <w:rPr>
      <w:color w:val="000000"/>
    </w:rPr>
    <w:tblPr>
      <w:tblStyleRowBandSize w:val="1"/>
      <w:tblStyleColBandSize w:val="1"/>
      <w:shd w:val="clear" w:color="auto" w:fill="edf6f9"/>
    </w:tblPr>
    <w:tblStylePr w:type="firstRow">
      <w:pPr/>
      <w:rPr>
        <w:b/>
        <w:bCs/>
        <w:color w:val="ffffff"/>
      </w:rPr>
      <w:tblPr/>
      <w:tcPr>
        <w:tcBorders>
          <w:bottom w:val="single" w:sz="12" w:space="0" w:color="ffffff"/>
        </w:tcBorders>
        <w:shd w:val="clear" w:color="auto" w:fill="f2730a"/>
      </w:tcPr>
    </w:tblStylePr>
    <w:tblStylePr w:type="lastRow">
      <w:pPr/>
      <w:rPr>
        <w:b/>
        <w:bCs/>
        <w:color w:val="f2730a"/>
      </w:rPr>
      <w:tblPr/>
      <w:tcPr>
        <w:tcBorders>
          <w:top w:val="single" w:sz="12" w:space="0" w:color="000000"/>
        </w:tcBorders>
        <w:shd w:val="clear" w:color="auto" w:fill="ffffff"/>
      </w:tcPr>
    </w:tblStylePr>
    <w:tblStylePr w:type="band1Horz">
      <w:pPr/>
      <w:tblPr/>
      <w:tcPr>
        <w:tcBorders/>
        <w:shd w:val="clear" w:color="auto" w:fill="daeef3"/>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2eaf1"/>
      </w:tcPr>
    </w:tblStylePr>
    <w:tcPr>
      <w:tcBorders/>
      <w:shd w:val="clear" w:color="auto" w:fill="edf6f9"/>
    </w:tcPr>
  </w:style>
  <w:style w:type="table" w:styleId="style258">
    <w:name w:val="Colorful List Accent 6"/>
    <w:basedOn w:val="style105"/>
    <w:next w:val="style258"/>
    <w:uiPriority w:val="72"/>
    <w:pPr>
      <w:spacing w:after="0" w:lineRule="auto" w:line="240"/>
    </w:pPr>
    <w:rPr>
      <w:color w:val="000000"/>
    </w:rPr>
    <w:tblPr>
      <w:tblStyleRowBandSize w:val="1"/>
      <w:tblStyleColBandSize w:val="1"/>
      <w:shd w:val="clear" w:color="auto" w:fill="fef4ec"/>
    </w:tblPr>
    <w:tblStylePr w:type="firstRow">
      <w:pPr/>
      <w:rPr>
        <w:b/>
        <w:bCs/>
        <w:color w:val="ffffff"/>
      </w:rPr>
      <w:tblPr/>
      <w:tcPr>
        <w:tcBorders>
          <w:bottom w:val="single" w:sz="12" w:space="0" w:color="ffffff"/>
        </w:tcBorders>
        <w:shd w:val="clear" w:color="auto" w:fill="348da5"/>
      </w:tcPr>
    </w:tblStylePr>
    <w:tblStylePr w:type="lastRow">
      <w:pPr/>
      <w:rPr>
        <w:b/>
        <w:bCs/>
        <w:color w:val="348da5"/>
      </w:rPr>
      <w:tblPr/>
      <w:tcPr>
        <w:tcBorders>
          <w:top w:val="single" w:sz="12" w:space="0" w:color="000000"/>
        </w:tcBorders>
        <w:shd w:val="clear" w:color="auto" w:fill="ffffff"/>
      </w:tcPr>
    </w:tblStylePr>
    <w:tblStylePr w:type="band1Horz">
      <w:pPr/>
      <w:tblPr/>
      <w:tcPr>
        <w:tcBorders/>
        <w:shd w:val="clear" w:color="auto" w:fill="fde9d9"/>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fde4d0"/>
      </w:tcPr>
    </w:tblStylePr>
    <w:tcPr>
      <w:tcBorders/>
      <w:shd w:val="clear" w:color="auto" w:fill="fef4ec"/>
    </w:tcPr>
  </w:style>
  <w:style w:type="table" w:styleId="style171">
    <w:name w:val="Colorful Grid"/>
    <w:basedOn w:val="style105"/>
    <w:next w:val="style171"/>
    <w:uiPriority w:val="73"/>
    <w:pPr>
      <w:spacing w:after="0" w:lineRule="auto" w:line="240"/>
    </w:pPr>
    <w:rPr>
      <w:color w:val="000000"/>
    </w:rPr>
    <w:tblPr>
      <w:tblStyleRowBandSize w:val="1"/>
      <w:tblStyleColBandSize w:val="1"/>
      <w:tblBorders>
        <w:insideH w:val="single" w:sz="4" w:space="0" w:color="ffffff"/>
      </w:tblBorders>
      <w:shd w:val="clear" w:color="auto" w:fill="cccccc"/>
    </w:tblPr>
    <w:tblStylePr w:type="firstRow">
      <w:pPr/>
      <w:rPr>
        <w:b/>
        <w:bCs/>
      </w:rPr>
      <w:tblPr/>
      <w:tcPr>
        <w:tcBorders/>
        <w:shd w:val="clear" w:color="auto" w:fill="999999"/>
      </w:tcPr>
    </w:tblStylePr>
    <w:tblStylePr w:type="lastRow">
      <w:pPr/>
      <w:rPr>
        <w:b/>
        <w:bCs/>
        <w:color w:val="000000"/>
      </w:rPr>
      <w:tblPr/>
      <w:tcPr>
        <w:tcBorders/>
        <w:shd w:val="clear" w:color="auto" w:fill="999999"/>
      </w:tcPr>
    </w:tblStylePr>
    <w:tblStylePr w:type="band1Horz">
      <w:pPr/>
      <w:tblPr/>
      <w:tcPr>
        <w:tcBorders/>
        <w:shd w:val="clear" w:color="auto" w:fill="808080"/>
      </w:tcPr>
    </w:tblStylePr>
    <w:tblStylePr w:type="firstCol">
      <w:pPr/>
      <w:rPr>
        <w:color w:val="ffffff"/>
      </w:rPr>
      <w:tblPr/>
      <w:tcPr>
        <w:tcBorders/>
        <w:shd w:val="clear" w:color="auto" w:fill="000000"/>
      </w:tcPr>
    </w:tblStylePr>
    <w:tblStylePr w:type="lastCol">
      <w:pPr/>
      <w:rPr>
        <w:color w:val="ffffff"/>
      </w:rPr>
      <w:tblPr/>
      <w:tcPr>
        <w:tcBorders/>
        <w:shd w:val="clear" w:color="auto" w:fill="000000"/>
      </w:tcPr>
    </w:tblStylePr>
    <w:tblStylePr w:type="band1Vert">
      <w:pPr/>
      <w:tblPr/>
      <w:tcPr>
        <w:tcBorders/>
        <w:shd w:val="clear" w:color="auto" w:fill="808080"/>
      </w:tcPr>
    </w:tblStylePr>
    <w:tcPr>
      <w:tcBorders/>
      <w:shd w:val="clear" w:color="auto" w:fill="cccccc"/>
    </w:tcPr>
  </w:style>
  <w:style w:type="table" w:styleId="style189">
    <w:name w:val="Colorful Grid Accent 1"/>
    <w:basedOn w:val="style105"/>
    <w:next w:val="style189"/>
    <w:uiPriority w:val="73"/>
    <w:pPr>
      <w:spacing w:after="0" w:lineRule="auto" w:line="240"/>
    </w:pPr>
    <w:rPr>
      <w:color w:val="000000"/>
    </w:rPr>
    <w:tblPr>
      <w:tblStyleRowBandSize w:val="1"/>
      <w:tblStyleColBandSize w:val="1"/>
      <w:tblBorders>
        <w:insideH w:val="single" w:sz="4" w:space="0" w:color="ffffff"/>
      </w:tblBorders>
      <w:shd w:val="clear" w:color="auto" w:fill="dbe5f1"/>
    </w:tblPr>
    <w:tblStylePr w:type="firstRow">
      <w:pPr/>
      <w:rPr>
        <w:b/>
        <w:bCs/>
      </w:rPr>
      <w:tblPr/>
      <w:tcPr>
        <w:tcBorders/>
        <w:shd w:val="clear" w:color="auto" w:fill="b8cce4"/>
      </w:tcPr>
    </w:tblStylePr>
    <w:tblStylePr w:type="lastRow">
      <w:pPr/>
      <w:rPr>
        <w:b/>
        <w:bCs/>
        <w:color w:val="000000"/>
      </w:rPr>
      <w:tblPr/>
      <w:tcPr>
        <w:tcBorders/>
        <w:shd w:val="clear" w:color="auto" w:fill="b8cce4"/>
      </w:tcPr>
    </w:tblStylePr>
    <w:tblStylePr w:type="band1Horz">
      <w:pPr/>
      <w:tblPr/>
      <w:tcPr>
        <w:tcBorders/>
        <w:shd w:val="clear" w:color="auto" w:fill="a7bfde"/>
      </w:tcPr>
    </w:tblStylePr>
    <w:tblStylePr w:type="firstCol">
      <w:pPr/>
      <w:rPr>
        <w:color w:val="ffffff"/>
      </w:rPr>
      <w:tblPr/>
      <w:tcPr>
        <w:tcBorders/>
        <w:shd w:val="clear" w:color="auto" w:fill="365f91"/>
      </w:tcPr>
    </w:tblStylePr>
    <w:tblStylePr w:type="lastCol">
      <w:pPr/>
      <w:rPr>
        <w:color w:val="ffffff"/>
      </w:rPr>
      <w:tblPr/>
      <w:tcPr>
        <w:tcBorders/>
        <w:shd w:val="clear" w:color="auto" w:fill="365f91"/>
      </w:tcPr>
    </w:tblStylePr>
    <w:tblStylePr w:type="band1Vert">
      <w:pPr/>
      <w:tblPr/>
      <w:tcPr>
        <w:tcBorders/>
        <w:shd w:val="clear" w:color="auto" w:fill="a7bfde"/>
      </w:tcPr>
    </w:tblStylePr>
    <w:tcPr>
      <w:tcBorders/>
      <w:shd w:val="clear" w:color="auto" w:fill="dbe5f1"/>
    </w:tcPr>
  </w:style>
  <w:style w:type="table" w:styleId="style203">
    <w:name w:val="Colorful Grid Accent 2"/>
    <w:basedOn w:val="style105"/>
    <w:next w:val="style203"/>
    <w:uiPriority w:val="73"/>
    <w:pPr>
      <w:spacing w:after="0" w:lineRule="auto" w:line="240"/>
    </w:pPr>
    <w:rPr>
      <w:color w:val="000000"/>
    </w:rPr>
    <w:tblPr>
      <w:tblStyleRowBandSize w:val="1"/>
      <w:tblStyleColBandSize w:val="1"/>
      <w:tblBorders>
        <w:insideH w:val="single" w:sz="4" w:space="0" w:color="ffffff"/>
      </w:tblBorders>
      <w:shd w:val="clear" w:color="auto" w:fill="f2dbdb"/>
    </w:tblPr>
    <w:tblStylePr w:type="firstRow">
      <w:pPr/>
      <w:rPr>
        <w:b/>
        <w:bCs/>
      </w:rPr>
      <w:tblPr/>
      <w:tcPr>
        <w:tcBorders/>
        <w:shd w:val="clear" w:color="auto" w:fill="e5b8b7"/>
      </w:tcPr>
    </w:tblStylePr>
    <w:tblStylePr w:type="lastRow">
      <w:pPr/>
      <w:rPr>
        <w:b/>
        <w:bCs/>
        <w:color w:val="000000"/>
      </w:rPr>
      <w:tblPr/>
      <w:tcPr>
        <w:tcBorders/>
        <w:shd w:val="clear" w:color="auto" w:fill="e5b8b7"/>
      </w:tcPr>
    </w:tblStylePr>
    <w:tblStylePr w:type="band1Horz">
      <w:pPr/>
      <w:tblPr/>
      <w:tcPr>
        <w:tcBorders/>
        <w:shd w:val="clear" w:color="auto" w:fill="dfa7a6"/>
      </w:tcPr>
    </w:tblStylePr>
    <w:tblStylePr w:type="firstCol">
      <w:pPr/>
      <w:rPr>
        <w:color w:val="ffffff"/>
      </w:rPr>
      <w:tblPr/>
      <w:tcPr>
        <w:tcBorders/>
        <w:shd w:val="clear" w:color="auto" w:fill="943634"/>
      </w:tcPr>
    </w:tblStylePr>
    <w:tblStylePr w:type="lastCol">
      <w:pPr/>
      <w:rPr>
        <w:color w:val="ffffff"/>
      </w:rPr>
      <w:tblPr/>
      <w:tcPr>
        <w:tcBorders/>
        <w:shd w:val="clear" w:color="auto" w:fill="943634"/>
      </w:tcPr>
    </w:tblStylePr>
    <w:tblStylePr w:type="band1Vert">
      <w:pPr/>
      <w:tblPr/>
      <w:tcPr>
        <w:tcBorders/>
        <w:shd w:val="clear" w:color="auto" w:fill="dfa7a6"/>
      </w:tcPr>
    </w:tblStylePr>
    <w:tcPr>
      <w:tcBorders/>
      <w:shd w:val="clear" w:color="auto" w:fill="f2dbdb"/>
    </w:tcPr>
  </w:style>
  <w:style w:type="table" w:styleId="style217">
    <w:name w:val="Colorful Grid Accent 3"/>
    <w:basedOn w:val="style105"/>
    <w:next w:val="style217"/>
    <w:uiPriority w:val="73"/>
    <w:pPr>
      <w:spacing w:after="0" w:lineRule="auto" w:line="240"/>
    </w:pPr>
    <w:rPr>
      <w:color w:val="000000"/>
    </w:rPr>
    <w:tblPr>
      <w:tblStyleRowBandSize w:val="1"/>
      <w:tblStyleColBandSize w:val="1"/>
      <w:tblBorders>
        <w:insideH w:val="single" w:sz="4" w:space="0" w:color="ffffff"/>
      </w:tblBorders>
      <w:shd w:val="clear" w:color="auto" w:fill="eaf1dd"/>
    </w:tblPr>
    <w:tblStylePr w:type="firstRow">
      <w:pPr/>
      <w:rPr>
        <w:b/>
        <w:bCs/>
      </w:rPr>
      <w:tblPr/>
      <w:tcPr>
        <w:tcBorders/>
        <w:shd w:val="clear" w:color="auto" w:fill="d6e3bc"/>
      </w:tcPr>
    </w:tblStylePr>
    <w:tblStylePr w:type="lastRow">
      <w:pPr/>
      <w:rPr>
        <w:b/>
        <w:bCs/>
        <w:color w:val="000000"/>
      </w:rPr>
      <w:tblPr/>
      <w:tcPr>
        <w:tcBorders/>
        <w:shd w:val="clear" w:color="auto" w:fill="d6e3bc"/>
      </w:tcPr>
    </w:tblStylePr>
    <w:tblStylePr w:type="band1Horz">
      <w:pPr/>
      <w:tblPr/>
      <w:tcPr>
        <w:tcBorders/>
        <w:shd w:val="clear" w:color="auto" w:fill="cdddac"/>
      </w:tcPr>
    </w:tblStylePr>
    <w:tblStylePr w:type="firstCol">
      <w:pPr/>
      <w:rPr>
        <w:color w:val="ffffff"/>
      </w:rPr>
      <w:tblPr/>
      <w:tcPr>
        <w:tcBorders/>
        <w:shd w:val="clear" w:color="auto" w:fill="76923c"/>
      </w:tcPr>
    </w:tblStylePr>
    <w:tblStylePr w:type="lastCol">
      <w:pPr/>
      <w:rPr>
        <w:color w:val="ffffff"/>
      </w:rPr>
      <w:tblPr/>
      <w:tcPr>
        <w:tcBorders/>
        <w:shd w:val="clear" w:color="auto" w:fill="76923c"/>
      </w:tcPr>
    </w:tblStylePr>
    <w:tblStylePr w:type="band1Vert">
      <w:pPr/>
      <w:tblPr/>
      <w:tcPr>
        <w:tcBorders/>
        <w:shd w:val="clear" w:color="auto" w:fill="cdddac"/>
      </w:tcPr>
    </w:tblStylePr>
    <w:tcPr>
      <w:tcBorders/>
      <w:shd w:val="clear" w:color="auto" w:fill="eaf1dd"/>
    </w:tcPr>
  </w:style>
  <w:style w:type="table" w:styleId="style231">
    <w:name w:val="Colorful Grid Accent 4"/>
    <w:basedOn w:val="style105"/>
    <w:next w:val="style231"/>
    <w:uiPriority w:val="73"/>
    <w:pPr>
      <w:spacing w:after="0" w:lineRule="auto" w:line="240"/>
    </w:pPr>
    <w:rPr>
      <w:color w:val="000000"/>
    </w:rPr>
    <w:tblPr>
      <w:tblStyleRowBandSize w:val="1"/>
      <w:tblStyleColBandSize w:val="1"/>
      <w:tblBorders>
        <w:insideH w:val="single" w:sz="4" w:space="0" w:color="ffffff"/>
      </w:tblBorders>
      <w:shd w:val="clear" w:color="auto" w:fill="e5dfec"/>
    </w:tblPr>
    <w:tblStylePr w:type="firstRow">
      <w:pPr/>
      <w:rPr>
        <w:b/>
        <w:bCs/>
      </w:rPr>
      <w:tblPr/>
      <w:tcPr>
        <w:tcBorders/>
        <w:shd w:val="clear" w:color="auto" w:fill="ccc0d9"/>
      </w:tcPr>
    </w:tblStylePr>
    <w:tblStylePr w:type="lastRow">
      <w:pPr/>
      <w:rPr>
        <w:b/>
        <w:bCs/>
        <w:color w:val="000000"/>
      </w:rPr>
      <w:tblPr/>
      <w:tcPr>
        <w:tcBorders/>
        <w:shd w:val="clear" w:color="auto" w:fill="ccc0d9"/>
      </w:tcPr>
    </w:tblStylePr>
    <w:tblStylePr w:type="band1Horz">
      <w:pPr/>
      <w:tblPr/>
      <w:tcPr>
        <w:tcBorders/>
        <w:shd w:val="clear" w:color="auto" w:fill="bfb1d0"/>
      </w:tcPr>
    </w:tblStylePr>
    <w:tblStylePr w:type="firstCol">
      <w:pPr/>
      <w:rPr>
        <w:color w:val="ffffff"/>
      </w:rPr>
      <w:tblPr/>
      <w:tcPr>
        <w:tcBorders/>
        <w:shd w:val="clear" w:color="auto" w:fill="5f497a"/>
      </w:tcPr>
    </w:tblStylePr>
    <w:tblStylePr w:type="lastCol">
      <w:pPr/>
      <w:rPr>
        <w:color w:val="ffffff"/>
      </w:rPr>
      <w:tblPr/>
      <w:tcPr>
        <w:tcBorders/>
        <w:shd w:val="clear" w:color="auto" w:fill="5f497a"/>
      </w:tcPr>
    </w:tblStylePr>
    <w:tblStylePr w:type="band1Vert">
      <w:pPr/>
      <w:tblPr/>
      <w:tcPr>
        <w:tcBorders/>
        <w:shd w:val="clear" w:color="auto" w:fill="bfb1d0"/>
      </w:tcPr>
    </w:tblStylePr>
    <w:tcPr>
      <w:tcBorders/>
      <w:shd w:val="clear" w:color="auto" w:fill="e5dfec"/>
    </w:tcPr>
  </w:style>
  <w:style w:type="table" w:styleId="style245">
    <w:name w:val="Colorful Grid Accent 5"/>
    <w:basedOn w:val="style105"/>
    <w:next w:val="style245"/>
    <w:uiPriority w:val="73"/>
    <w:pPr>
      <w:spacing w:after="0" w:lineRule="auto" w:line="240"/>
    </w:pPr>
    <w:rPr>
      <w:color w:val="000000"/>
    </w:rPr>
    <w:tblPr>
      <w:tblStyleRowBandSize w:val="1"/>
      <w:tblStyleColBandSize w:val="1"/>
      <w:tblBorders>
        <w:insideH w:val="single" w:sz="4" w:space="0" w:color="ffffff"/>
      </w:tblBorders>
      <w:shd w:val="clear" w:color="auto" w:fill="daeef3"/>
    </w:tblPr>
    <w:tblStylePr w:type="firstRow">
      <w:pPr/>
      <w:rPr>
        <w:b/>
        <w:bCs/>
      </w:rPr>
      <w:tblPr/>
      <w:tcPr>
        <w:tcBorders/>
        <w:shd w:val="clear" w:color="auto" w:fill="b6dde8"/>
      </w:tcPr>
    </w:tblStylePr>
    <w:tblStylePr w:type="lastRow">
      <w:pPr/>
      <w:rPr>
        <w:b/>
        <w:bCs/>
        <w:color w:val="000000"/>
      </w:rPr>
      <w:tblPr/>
      <w:tcPr>
        <w:tcBorders/>
        <w:shd w:val="clear" w:color="auto" w:fill="b6dde8"/>
      </w:tcPr>
    </w:tblStylePr>
    <w:tblStylePr w:type="band1Horz">
      <w:pPr/>
      <w:tblPr/>
      <w:tcPr>
        <w:tcBorders/>
        <w:shd w:val="clear" w:color="auto" w:fill="a5d5e2"/>
      </w:tcPr>
    </w:tblStylePr>
    <w:tblStylePr w:type="firstCol">
      <w:pPr/>
      <w:rPr>
        <w:color w:val="ffffff"/>
      </w:rPr>
      <w:tblPr/>
      <w:tcPr>
        <w:tcBorders/>
        <w:shd w:val="clear" w:color="auto" w:fill="31849b"/>
      </w:tcPr>
    </w:tblStylePr>
    <w:tblStylePr w:type="lastCol">
      <w:pPr/>
      <w:rPr>
        <w:color w:val="ffffff"/>
      </w:rPr>
      <w:tblPr/>
      <w:tcPr>
        <w:tcBorders/>
        <w:shd w:val="clear" w:color="auto" w:fill="31849b"/>
      </w:tcPr>
    </w:tblStylePr>
    <w:tblStylePr w:type="band1Vert">
      <w:pPr/>
      <w:tblPr/>
      <w:tcPr>
        <w:tcBorders/>
        <w:shd w:val="clear" w:color="auto" w:fill="a5d5e2"/>
      </w:tcPr>
    </w:tblStylePr>
    <w:tcPr>
      <w:tcBorders/>
      <w:shd w:val="clear" w:color="auto" w:fill="daeef3"/>
    </w:tcPr>
  </w:style>
  <w:style w:type="table" w:styleId="style259">
    <w:name w:val="Colorful Grid Accent 6"/>
    <w:basedOn w:val="style105"/>
    <w:next w:val="style259"/>
    <w:uiPriority w:val="73"/>
    <w:pPr>
      <w:spacing w:after="0" w:lineRule="auto" w:line="240"/>
    </w:pPr>
    <w:rPr>
      <w:color w:val="000000"/>
    </w:rPr>
    <w:tblPr>
      <w:tblStyleRowBandSize w:val="1"/>
      <w:tblStyleColBandSize w:val="1"/>
      <w:tblBorders>
        <w:insideH w:val="single" w:sz="4" w:space="0" w:color="ffffff"/>
      </w:tblBorders>
      <w:shd w:val="clear" w:color="auto" w:fill="fde9d9"/>
    </w:tblPr>
    <w:tblStylePr w:type="firstRow">
      <w:pPr/>
      <w:rPr>
        <w:b/>
        <w:bCs/>
      </w:rPr>
      <w:tblPr/>
      <w:tcPr>
        <w:tcBorders/>
        <w:shd w:val="clear" w:color="auto" w:fill="fbd4b4"/>
      </w:tcPr>
    </w:tblStylePr>
    <w:tblStylePr w:type="lastRow">
      <w:pPr/>
      <w:rPr>
        <w:b/>
        <w:bCs/>
        <w:color w:val="000000"/>
      </w:rPr>
      <w:tblPr/>
      <w:tcPr>
        <w:tcBorders/>
        <w:shd w:val="clear" w:color="auto" w:fill="fbd4b4"/>
      </w:tcPr>
    </w:tblStylePr>
    <w:tblStylePr w:type="band1Horz">
      <w:pPr/>
      <w:tblPr/>
      <w:tcPr>
        <w:tcBorders/>
        <w:shd w:val="clear" w:color="auto" w:fill="fbcaa2"/>
      </w:tcPr>
    </w:tblStylePr>
    <w:tblStylePr w:type="firstCol">
      <w:pPr/>
      <w:rPr>
        <w:color w:val="ffffff"/>
      </w:rPr>
      <w:tblPr/>
      <w:tcPr>
        <w:tcBorders/>
        <w:shd w:val="clear" w:color="auto" w:fill="e36c0a"/>
      </w:tcPr>
    </w:tblStylePr>
    <w:tblStylePr w:type="lastCol">
      <w:pPr/>
      <w:rPr>
        <w:color w:val="ffffff"/>
      </w:rPr>
      <w:tblPr/>
      <w:tcPr>
        <w:tcBorders/>
        <w:shd w:val="clear" w:color="auto" w:fill="e36c0a"/>
      </w:tcPr>
    </w:tblStylePr>
    <w:tblStylePr w:type="band1Vert">
      <w:pPr/>
      <w:tblPr/>
      <w:tcPr>
        <w:tcBorders/>
        <w:shd w:val="clear" w:color="auto" w:fill="fbcaa2"/>
      </w:tcPr>
    </w:tblStylePr>
    <w:tcPr>
      <w:tcBorders/>
      <w:shd w:val="clear" w:color="auto" w:fill="fde9d9"/>
    </w:tcPr>
  </w:style>
  <w:style w:type="table" w:customStyle="1" w:styleId="style4116">
    <w:name w:val="Table Grid3"/>
    <w:basedOn w:val="style105"/>
    <w:next w:val="style154"/>
    <w:uiPriority w:val="39"/>
    <w:pPr>
      <w:spacing w:after="0" w:lineRule="auto" w:line="240"/>
    </w:pPr>
    <w:rPr>
      <w:rFonts w:ascii="Calibri" w:cs="Arial" w:eastAsia="Calibri" w:hAnsi="Calibri"/>
      <w:kern w:val="2"/>
      <w14:ligatures xmlns:w14="http://schemas.microsoft.com/office/word/2010/wordml"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customStyle="1" w:styleId="style4117">
    <w:name w:val="Table Grid2"/>
    <w:basedOn w:val="style105"/>
    <w:next w:val="style154"/>
    <w:uiPriority w:val="39"/>
    <w:pPr>
      <w:spacing w:after="0" w:lineRule="auto" w:line="240"/>
    </w:pPr>
    <w:rPr>
      <w:rFonts w:ascii="Calibri" w:cs="Arial" w:eastAsia="Calibri" w:hAnsi="Calibri"/>
      <w:kern w:val="2"/>
      <w14:ligatures xmlns:w14="http://schemas.microsoft.com/office/word/2010/wordml"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94">
    <w:name w:val="Normal (Web)"/>
    <w:basedOn w:val="style0"/>
    <w:next w:val="style94"/>
    <w:uiPriority w:val="99"/>
    <w:pPr>
      <w:spacing w:before="100" w:beforeAutospacing="true" w:after="100" w:afterAutospacing="true" w:lineRule="auto" w:line="240"/>
    </w:pPr>
    <w:rPr>
      <w:rFonts w:cs="Times New Roman"/>
      <w:szCs w:val="24"/>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18"/>
    <w:uiPriority w:val="99"/>
    <w:pPr>
      <w:spacing w:after="160" w:lineRule="auto" w:line="240"/>
    </w:pPr>
    <w:rPr>
      <w:rFonts w:ascii="Cambria" w:eastAsia="Cambria" w:hAnsi="Cambria"/>
      <w:kern w:val="2"/>
      <w:sz w:val="20"/>
      <w:szCs w:val="20"/>
      <w14:ligatures xmlns:w14="http://schemas.microsoft.com/office/word/2010/wordml" w14:val="standardContextual"/>
    </w:rPr>
  </w:style>
  <w:style w:type="character" w:customStyle="1" w:styleId="style4118">
    <w:name w:val="Comment Text Char"/>
    <w:basedOn w:val="style65"/>
    <w:next w:val="style4118"/>
    <w:link w:val="style30"/>
    <w:uiPriority w:val="99"/>
    <w:rPr>
      <w:rFonts w:eastAsia="Cambria"/>
      <w:kern w:val="2"/>
      <w:sz w:val="20"/>
      <w:szCs w:val="20"/>
      <w14:ligatures xmlns:w14="http://schemas.microsoft.com/office/word/2010/wordml" w14:val="standardContextual"/>
    </w:rPr>
  </w:style>
  <w:style w:type="character" w:styleId="style85">
    <w:name w:val="Hyperlink"/>
    <w:basedOn w:val="style65"/>
    <w:next w:val="style85"/>
    <w:uiPriority w:val="99"/>
    <w:rPr>
      <w:color w:val="0000ff"/>
      <w:u w:val="single"/>
    </w:rPr>
  </w:style>
  <w:style w:type="character" w:customStyle="1" w:styleId="style4119">
    <w:name w:val="Unresolved Mention1"/>
    <w:basedOn w:val="style65"/>
    <w:next w:val="style4119"/>
    <w:uiPriority w:val="99"/>
    <w:rPr>
      <w:color w:val="605e5c"/>
      <w:shd w:val="clear" w:color="auto" w:fill="e1dfdd"/>
    </w:rPr>
  </w:style>
  <w:style w:type="paragraph" w:styleId="style153">
    <w:name w:val="Balloon Text"/>
    <w:basedOn w:val="style0"/>
    <w:next w:val="style153"/>
    <w:link w:val="style4120"/>
    <w:uiPriority w:val="99"/>
    <w:pPr>
      <w:spacing w:after="0" w:lineRule="auto" w:line="240"/>
    </w:pPr>
    <w:rPr>
      <w:rFonts w:ascii="Tahoma" w:cs="Tahoma" w:hAnsi="Tahoma"/>
      <w:sz w:val="16"/>
      <w:szCs w:val="16"/>
    </w:rPr>
  </w:style>
  <w:style w:type="character" w:customStyle="1" w:styleId="style4120">
    <w:name w:val="Balloon Text Char"/>
    <w:basedOn w:val="style65"/>
    <w:next w:val="style4120"/>
    <w:link w:val="style153"/>
    <w:uiPriority w:val="99"/>
    <w:rPr>
      <w:rFonts w:ascii="Tahoma" w:cs="Tahoma" w:eastAsia="Times New Roman" w:hAnsi="Tahoma"/>
      <w:sz w:val="16"/>
      <w:szCs w:val="16"/>
    </w:rPr>
  </w:style>
  <w:style w:type="character" w:customStyle="1" w:styleId="style4121">
    <w:name w:val="Unresolved Mention"/>
    <w:basedOn w:val="style65"/>
    <w:next w:val="style4121"/>
    <w:uiPriority w:val="99"/>
    <w:rPr>
      <w:color w:val="605e5c"/>
      <w:shd w:val="clear" w:color="auto" w:fill="e1dfdd"/>
    </w:rPr>
  </w:style>
  <w:style w:type="character" w:customStyle="1" w:styleId="style4122">
    <w:name w:val="ms-1"/>
    <w:basedOn w:val="style65"/>
    <w:next w:val="style4122"/>
  </w:style>
  <w:style w:type="character" w:customStyle="1" w:styleId="style4123">
    <w:name w:val="max-w-[15ch]"/>
    <w:basedOn w:val="style65"/>
    <w:next w:val="style4123"/>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footer" Target="footer1.xml"/><Relationship Id="rId15" Type="http://schemas.openxmlformats.org/officeDocument/2006/relationships/customXml" Target="../customXml/item2.xml"/><Relationship Id="rId14" Type="http://schemas.openxmlformats.org/officeDocument/2006/relationships/customXml" Target="../customXml/item1.xml"/><Relationship Id="rId17" Type="http://schemas.openxmlformats.org/officeDocument/2006/relationships/customXml" Target="../customXml/item4.xml"/><Relationship Id="rId16" Type="http://schemas.openxmlformats.org/officeDocument/2006/relationships/customXml" Target="../customXml/item3.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1921646B00EEE43B852ABD15883A773" ma:contentTypeVersion="5" ma:contentTypeDescription="Create a new document." ma:contentTypeScope="" ma:versionID="19decafbb65322787e1241c7e4434d0b">
  <xsd:schema xmlns:xsd="http://www.w3.org/2001/XMLSchema" xmlns:xs="http://www.w3.org/2001/XMLSchema" xmlns:p="http://schemas.microsoft.com/office/2006/metadata/properties" xmlns:ns3="97c19ae2-3a64-4d71-8621-d0c119c3cd27" targetNamespace="http://schemas.microsoft.com/office/2006/metadata/properties" ma:root="true" ma:fieldsID="c6b9ba6cb50fa88cfb8d17586947926e" ns3:_="">
    <xsd:import namespace="97c19ae2-3a64-4d71-8621-d0c119c3cd2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9ae2-3a64-4d71-8621-d0c119c3c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D0AF7E-40F9-4EC6-9D76-05E339532D99}">
  <ds:schemaRefs>
    <ds:schemaRef ds:uri="http://purl.org/dc/elements/1.1/"/>
    <ds:schemaRef ds:uri="http://schemas.openxmlformats.org/package/2006/metadata/core-properties"/>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97c19ae2-3a64-4d71-8621-d0c119c3cd27"/>
    <ds:schemaRef ds:uri="http://schemas.microsoft.com/office/2006/metadata/properties"/>
  </ds:schemaRefs>
</ds:datastoreItem>
</file>

<file path=customXml/itemProps2.xml><?xml version="1.0" encoding="utf-8"?>
<ds:datastoreItem xmlns:ds="http://schemas.openxmlformats.org/officeDocument/2006/customXml" ds:itemID="{2219BCC5-6FC5-4A6C-B140-C29FD2C37DF1}">
  <ds:schemaRefs>
    <ds:schemaRef ds:uri="http://schemas.openxmlformats.org/officeDocument/2006/bibliography"/>
  </ds:schemaRefs>
</ds:datastoreItem>
</file>

<file path=customXml/itemProps3.xml><?xml version="1.0" encoding="utf-8"?>
<ds:datastoreItem xmlns:ds="http://schemas.openxmlformats.org/officeDocument/2006/customXml" ds:itemID="{B8046275-E304-48CA-B7B5-661B7CA99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c19ae2-3a64-4d71-8621-d0c119c3c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7F932A-0759-4806-9BBC-7BA2AA8F2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Words>2628</Words>
  <Pages>12</Pages>
  <Characters>15721</Characters>
  <Application>WPS Office</Application>
  <DocSecurity>0</DocSecurity>
  <Paragraphs>461</Paragraphs>
  <ScaleCrop>false</ScaleCrop>
  <LinksUpToDate>false</LinksUpToDate>
  <CharactersWithSpaces>18587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٢٠٢٥-١٠-٠٢T٠٦:٠٦:٠٠Z</dcterms:created>
  <dc:creator>python-docx</dc:creator>
  <lastModifiedBy>RMX3710</lastModifiedBy>
  <lastPrinted>٢٠٢٥-٠٦-٣٠T٠٦:١٥:٠٠Z</lastPrinted>
  <dcterms:modified xsi:type="dcterms:W3CDTF">٢٠٢٦-٠٢-١٧T٠٨:٣١:١٧Z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0x01010031921646B00EEE43B852ABD15883A773</vt:lpwstr>
  </property>
  <property fmtid="{D5CDD505-2E9C-101B-9397-08002B2CF9AE}" pid="3" name="ICV">
    <vt:lpwstr>a1545c3af8654c3bb26a63959e010cf9</vt:lpwstr>
  </property>
</Properties>
</file>